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03" w:rsidRPr="003046D8" w:rsidRDefault="0046403F" w:rsidP="002513C1">
      <w:pPr>
        <w:shd w:val="clear" w:color="auto" w:fill="FFFFFF" w:themeFill="background1"/>
        <w:spacing w:after="0" w:line="240" w:lineRule="auto"/>
        <w:jc w:val="center"/>
        <w:rPr>
          <w:rFonts w:ascii="Times New Roman" w:hAnsi="Times New Roman" w:cs="Times New Roman"/>
          <w:b/>
          <w:sz w:val="28"/>
          <w:szCs w:val="28"/>
          <w:lang w:val="en-US"/>
        </w:rPr>
      </w:pPr>
      <w:r w:rsidRPr="00CB216A">
        <w:rPr>
          <w:rFonts w:ascii="Times New Roman" w:hAnsi="Times New Roman" w:cs="Times New Roman"/>
          <w:b/>
          <w:sz w:val="28"/>
          <w:szCs w:val="28"/>
          <w:lang w:val="en-US"/>
        </w:rPr>
        <w:t xml:space="preserve">WHAT </w:t>
      </w:r>
      <w:r w:rsidRPr="003046D8">
        <w:rPr>
          <w:rFonts w:ascii="Times New Roman" w:hAnsi="Times New Roman" w:cs="Times New Roman"/>
          <w:b/>
          <w:sz w:val="28"/>
          <w:szCs w:val="28"/>
          <w:lang w:val="en-US"/>
        </w:rPr>
        <w:t>DETERMINE</w:t>
      </w:r>
      <w:r w:rsidR="00AD5435" w:rsidRPr="003046D8">
        <w:rPr>
          <w:rFonts w:ascii="Times New Roman" w:hAnsi="Times New Roman" w:cs="Times New Roman"/>
          <w:b/>
          <w:sz w:val="28"/>
          <w:szCs w:val="28"/>
          <w:lang w:val="en-US"/>
        </w:rPr>
        <w:t>S</w:t>
      </w:r>
      <w:r w:rsidRPr="003046D8">
        <w:rPr>
          <w:rFonts w:ascii="Times New Roman" w:hAnsi="Times New Roman" w:cs="Times New Roman"/>
          <w:b/>
          <w:sz w:val="28"/>
          <w:szCs w:val="28"/>
          <w:lang w:val="en-US"/>
        </w:rPr>
        <w:t xml:space="preserve"> ISLAMIC STOCK RETURNS IN INDONESIA?</w:t>
      </w:r>
    </w:p>
    <w:p w:rsidR="00EB343E" w:rsidRPr="003046D8" w:rsidRDefault="00EB343E" w:rsidP="002513C1">
      <w:pPr>
        <w:shd w:val="clear" w:color="auto" w:fill="FFFFFF" w:themeFill="background1"/>
        <w:spacing w:after="0" w:line="240" w:lineRule="auto"/>
        <w:jc w:val="center"/>
        <w:rPr>
          <w:rFonts w:ascii="Times New Roman" w:hAnsi="Times New Roman" w:cs="Times New Roman"/>
          <w:b/>
          <w:lang w:val="en-US"/>
        </w:rPr>
      </w:pPr>
    </w:p>
    <w:p w:rsidR="00606B03" w:rsidRPr="00034585" w:rsidRDefault="0046403F" w:rsidP="002513C1">
      <w:pPr>
        <w:shd w:val="clear" w:color="auto" w:fill="FFFFFF" w:themeFill="background1"/>
        <w:spacing w:after="0"/>
        <w:ind w:left="720"/>
        <w:jc w:val="center"/>
        <w:rPr>
          <w:rFonts w:ascii="Times New Roman" w:hAnsi="Times New Roman" w:cs="Times New Roman"/>
          <w:b/>
          <w:color w:val="FFFFFF" w:themeColor="background1"/>
          <w:sz w:val="24"/>
          <w:szCs w:val="24"/>
          <w:vertAlign w:val="superscript"/>
          <w:lang w:val="en-US"/>
        </w:rPr>
      </w:pPr>
      <w:r w:rsidRPr="00034585">
        <w:rPr>
          <w:rFonts w:ascii="Times New Roman" w:hAnsi="Times New Roman" w:cs="Times New Roman"/>
          <w:b/>
          <w:color w:val="FFFFFF" w:themeColor="background1"/>
          <w:sz w:val="24"/>
          <w:szCs w:val="24"/>
          <w:lang w:val="en-US"/>
        </w:rPr>
        <w:t>Rina Novi Yani</w:t>
      </w:r>
      <w:r w:rsidRPr="00034585">
        <w:rPr>
          <w:rFonts w:ascii="Times New Roman" w:hAnsi="Times New Roman" w:cs="Times New Roman"/>
          <w:b/>
          <w:color w:val="FFFFFF" w:themeColor="background1"/>
          <w:sz w:val="24"/>
          <w:szCs w:val="24"/>
          <w:vertAlign w:val="superscript"/>
          <w:lang w:val="en-US"/>
        </w:rPr>
        <w:t>1</w:t>
      </w:r>
      <w:r w:rsidR="006C7D81" w:rsidRPr="00034585">
        <w:rPr>
          <w:rFonts w:ascii="Times New Roman" w:hAnsi="Times New Roman" w:cs="Times New Roman"/>
          <w:b/>
          <w:color w:val="FFFFFF" w:themeColor="background1"/>
          <w:sz w:val="24"/>
          <w:szCs w:val="24"/>
          <w:lang w:val="en-US"/>
        </w:rPr>
        <w:t xml:space="preserve">, </w:t>
      </w:r>
      <w:r w:rsidRPr="00034585">
        <w:rPr>
          <w:rFonts w:ascii="Times New Roman" w:hAnsi="Times New Roman" w:cs="Times New Roman"/>
          <w:b/>
          <w:color w:val="FFFFFF" w:themeColor="background1"/>
          <w:sz w:val="24"/>
          <w:szCs w:val="24"/>
          <w:lang w:val="en-US"/>
        </w:rPr>
        <w:t>Muhammad Arfan</w:t>
      </w:r>
      <w:r w:rsidRPr="00034585">
        <w:rPr>
          <w:rFonts w:ascii="Times New Roman" w:hAnsi="Times New Roman" w:cs="Times New Roman"/>
          <w:b/>
          <w:color w:val="FFFFFF" w:themeColor="background1"/>
          <w:sz w:val="24"/>
          <w:szCs w:val="24"/>
          <w:vertAlign w:val="superscript"/>
          <w:lang w:val="en-US"/>
        </w:rPr>
        <w:t>2</w:t>
      </w:r>
      <w:r w:rsidRPr="00034585">
        <w:rPr>
          <w:rFonts w:ascii="Times New Roman" w:hAnsi="Times New Roman" w:cs="Times New Roman"/>
          <w:b/>
          <w:color w:val="FFFFFF" w:themeColor="background1"/>
          <w:sz w:val="24"/>
          <w:szCs w:val="24"/>
          <w:lang w:val="en-US"/>
        </w:rPr>
        <w:t>, M. Shabri</w:t>
      </w:r>
      <w:r w:rsidR="006C7D81" w:rsidRPr="00034585">
        <w:rPr>
          <w:rFonts w:ascii="Times New Roman" w:hAnsi="Times New Roman" w:cs="Times New Roman"/>
          <w:b/>
          <w:color w:val="FFFFFF" w:themeColor="background1"/>
          <w:sz w:val="24"/>
          <w:szCs w:val="24"/>
          <w:lang w:val="en-US"/>
        </w:rPr>
        <w:t xml:space="preserve"> Abd. Majid</w:t>
      </w:r>
      <w:r w:rsidR="006C7D81" w:rsidRPr="00034585">
        <w:rPr>
          <w:rFonts w:ascii="Times New Roman" w:hAnsi="Times New Roman" w:cs="Times New Roman"/>
          <w:b/>
          <w:color w:val="FFFFFF" w:themeColor="background1"/>
          <w:sz w:val="24"/>
          <w:szCs w:val="24"/>
          <w:vertAlign w:val="superscript"/>
          <w:lang w:val="en-US"/>
        </w:rPr>
        <w:t>2*</w:t>
      </w:r>
    </w:p>
    <w:p w:rsidR="00606B03" w:rsidRPr="00034585" w:rsidRDefault="0046403F" w:rsidP="002513C1">
      <w:pPr>
        <w:pStyle w:val="ListParagraph"/>
        <w:shd w:val="clear" w:color="auto" w:fill="FFFFFF" w:themeFill="background1"/>
        <w:spacing w:after="0" w:line="240" w:lineRule="auto"/>
        <w:ind w:left="0" w:right="-57"/>
        <w:jc w:val="center"/>
        <w:rPr>
          <w:b/>
          <w:color w:val="FFFFFF" w:themeColor="background1"/>
          <w:sz w:val="20"/>
          <w:szCs w:val="20"/>
          <w:vertAlign w:val="superscript"/>
        </w:rPr>
      </w:pPr>
      <w:r w:rsidRPr="00034585">
        <w:rPr>
          <w:color w:val="FFFFFF" w:themeColor="background1"/>
          <w:sz w:val="20"/>
          <w:szCs w:val="20"/>
          <w:vertAlign w:val="superscript"/>
        </w:rPr>
        <w:t>1</w:t>
      </w:r>
      <w:r w:rsidR="00EB343E" w:rsidRPr="00034585">
        <w:rPr>
          <w:color w:val="FFFFFF" w:themeColor="background1"/>
          <w:sz w:val="20"/>
          <w:szCs w:val="20"/>
        </w:rPr>
        <w:t xml:space="preserve">Master </w:t>
      </w:r>
      <w:r w:rsidR="006C7D81" w:rsidRPr="00034585">
        <w:rPr>
          <w:color w:val="FFFFFF" w:themeColor="background1"/>
          <w:sz w:val="20"/>
          <w:szCs w:val="20"/>
        </w:rPr>
        <w:t xml:space="preserve">of </w:t>
      </w:r>
      <w:r w:rsidRPr="00034585">
        <w:rPr>
          <w:color w:val="FFFFFF" w:themeColor="background1"/>
          <w:sz w:val="20"/>
          <w:szCs w:val="20"/>
        </w:rPr>
        <w:t>A</w:t>
      </w:r>
      <w:r w:rsidR="006C7D81" w:rsidRPr="00034585">
        <w:rPr>
          <w:color w:val="FFFFFF" w:themeColor="background1"/>
          <w:sz w:val="20"/>
          <w:szCs w:val="20"/>
        </w:rPr>
        <w:t xml:space="preserve">ccountancy, Faculty of Economics and Business, </w:t>
      </w:r>
      <w:r w:rsidRPr="00034585">
        <w:rPr>
          <w:color w:val="FFFFFF" w:themeColor="background1"/>
          <w:sz w:val="20"/>
          <w:szCs w:val="20"/>
        </w:rPr>
        <w:t>Universitas Syiah Kuala</w:t>
      </w:r>
      <w:r w:rsidR="00441570" w:rsidRPr="00034585">
        <w:rPr>
          <w:color w:val="FFFFFF" w:themeColor="background1"/>
          <w:sz w:val="20"/>
          <w:szCs w:val="20"/>
        </w:rPr>
        <w:t>, and Sekolah Tinggi Ilmu Administrasi (STIA) Pelita Nusantara, Nagan Raya, Aceh, Indonesia.</w:t>
      </w:r>
    </w:p>
    <w:p w:rsidR="00606B03" w:rsidRPr="00034585" w:rsidRDefault="0046403F" w:rsidP="002513C1">
      <w:pPr>
        <w:pStyle w:val="Footer"/>
        <w:shd w:val="clear" w:color="auto" w:fill="FFFFFF" w:themeFill="background1"/>
        <w:ind w:right="360"/>
        <w:jc w:val="center"/>
        <w:rPr>
          <w:color w:val="FFFFFF" w:themeColor="background1"/>
          <w:sz w:val="20"/>
          <w:szCs w:val="20"/>
        </w:rPr>
      </w:pPr>
      <w:r w:rsidRPr="00034585">
        <w:rPr>
          <w:color w:val="FFFFFF" w:themeColor="background1"/>
          <w:sz w:val="20"/>
          <w:szCs w:val="20"/>
          <w:vertAlign w:val="superscript"/>
        </w:rPr>
        <w:t>2</w:t>
      </w:r>
      <w:r w:rsidR="006C7D81" w:rsidRPr="00034585">
        <w:rPr>
          <w:color w:val="FFFFFF" w:themeColor="background1"/>
          <w:sz w:val="20"/>
          <w:szCs w:val="20"/>
        </w:rPr>
        <w:t xml:space="preserve">Faculty of Economics and Business, Universitas Syiah Kuala, </w:t>
      </w:r>
      <w:r w:rsidRPr="00034585">
        <w:rPr>
          <w:color w:val="FFFFFF" w:themeColor="background1"/>
          <w:sz w:val="20"/>
          <w:szCs w:val="20"/>
        </w:rPr>
        <w:t>Indonesia</w:t>
      </w:r>
      <w:r w:rsidR="003046D8" w:rsidRPr="00034585">
        <w:rPr>
          <w:color w:val="FFFFFF" w:themeColor="background1"/>
          <w:sz w:val="20"/>
          <w:szCs w:val="20"/>
        </w:rPr>
        <w:t>.</w:t>
      </w:r>
    </w:p>
    <w:p w:rsidR="006C7D81" w:rsidRPr="00034585" w:rsidRDefault="0046403F" w:rsidP="002513C1">
      <w:pPr>
        <w:pStyle w:val="Footer"/>
        <w:shd w:val="clear" w:color="auto" w:fill="FFFFFF" w:themeFill="background1"/>
        <w:ind w:right="360"/>
        <w:jc w:val="center"/>
        <w:rPr>
          <w:color w:val="FFFFFF" w:themeColor="background1"/>
          <w:sz w:val="20"/>
          <w:szCs w:val="20"/>
        </w:rPr>
      </w:pPr>
      <w:r w:rsidRPr="00034585">
        <w:rPr>
          <w:color w:val="FFFFFF" w:themeColor="background1"/>
          <w:sz w:val="20"/>
          <w:szCs w:val="20"/>
        </w:rPr>
        <w:t>*Corresponding author: mshabri@unsyiah.ac.id</w:t>
      </w:r>
    </w:p>
    <w:p w:rsidR="00606B03" w:rsidRPr="003046D8" w:rsidRDefault="00606B03" w:rsidP="002513C1">
      <w:pPr>
        <w:shd w:val="clear" w:color="auto" w:fill="FFFFFF" w:themeFill="background1"/>
        <w:spacing w:after="0"/>
        <w:ind w:left="720"/>
        <w:jc w:val="center"/>
        <w:rPr>
          <w:rFonts w:ascii="Times New Roman" w:hAnsi="Times New Roman" w:cs="Times New Roman"/>
          <w:vertAlign w:val="superscript"/>
          <w:lang w:val="en-US"/>
        </w:rPr>
      </w:pPr>
    </w:p>
    <w:p w:rsidR="00256C30" w:rsidRPr="00CB216A" w:rsidRDefault="0046403F" w:rsidP="002513C1">
      <w:pPr>
        <w:shd w:val="clear" w:color="auto" w:fill="FFFFFF" w:themeFill="background1"/>
        <w:spacing w:after="0" w:line="240" w:lineRule="auto"/>
        <w:jc w:val="both"/>
        <w:rPr>
          <w:rFonts w:ascii="Arial Narrow" w:hAnsi="Arial Narrow" w:cstheme="majorBidi"/>
          <w:bCs/>
          <w:sz w:val="20"/>
          <w:szCs w:val="20"/>
          <w:lang w:val="en-US"/>
        </w:rPr>
      </w:pPr>
      <w:r w:rsidRPr="003046D8">
        <w:rPr>
          <w:rFonts w:ascii="Arial Narrow" w:hAnsi="Arial Narrow" w:cstheme="majorBidi"/>
          <w:b/>
          <w:bCs/>
          <w:sz w:val="20"/>
          <w:szCs w:val="20"/>
          <w:lang w:val="en-US"/>
        </w:rPr>
        <w:t xml:space="preserve">Abstract - </w:t>
      </w:r>
      <w:r w:rsidRPr="003046D8">
        <w:rPr>
          <w:rFonts w:ascii="Arial Narrow" w:hAnsi="Arial Narrow" w:cstheme="majorBidi"/>
          <w:bCs/>
          <w:sz w:val="20"/>
          <w:szCs w:val="20"/>
          <w:lang w:val="en-US"/>
        </w:rPr>
        <w:t xml:space="preserve">This study aims to empirically explore and analyze the </w:t>
      </w:r>
      <w:r w:rsidR="00755591" w:rsidRPr="003046D8">
        <w:rPr>
          <w:rFonts w:ascii="Arial Narrow" w:hAnsi="Arial Narrow" w:cstheme="majorBidi"/>
          <w:bCs/>
          <w:sz w:val="20"/>
          <w:szCs w:val="20"/>
          <w:lang w:val="en-US"/>
        </w:rPr>
        <w:t xml:space="preserve">effects of profitability, liquidity, </w:t>
      </w:r>
      <w:r w:rsidR="009C4504" w:rsidRPr="003046D8">
        <w:rPr>
          <w:rFonts w:ascii="Arial Narrow" w:hAnsi="Arial Narrow" w:cstheme="majorBidi"/>
          <w:bCs/>
          <w:sz w:val="20"/>
          <w:szCs w:val="20"/>
          <w:lang w:val="en-US"/>
        </w:rPr>
        <w:t>solvency</w:t>
      </w:r>
      <w:r w:rsidR="00755591" w:rsidRPr="003046D8">
        <w:rPr>
          <w:rFonts w:ascii="Arial Narrow" w:hAnsi="Arial Narrow" w:cstheme="majorBidi"/>
          <w:bCs/>
          <w:sz w:val="20"/>
          <w:szCs w:val="20"/>
          <w:lang w:val="en-US"/>
        </w:rPr>
        <w:t xml:space="preserve">, and firm size on the </w:t>
      </w:r>
      <w:r w:rsidRPr="003046D8">
        <w:rPr>
          <w:rFonts w:ascii="Arial Narrow" w:hAnsi="Arial Narrow" w:cstheme="majorBidi"/>
          <w:bCs/>
          <w:sz w:val="20"/>
          <w:szCs w:val="20"/>
          <w:lang w:val="en-US"/>
        </w:rPr>
        <w:t>rate of return</w:t>
      </w:r>
      <w:r w:rsidR="00755591" w:rsidRPr="003046D8">
        <w:rPr>
          <w:rFonts w:ascii="Arial Narrow" w:hAnsi="Arial Narrow" w:cstheme="majorBidi"/>
          <w:bCs/>
          <w:sz w:val="20"/>
          <w:szCs w:val="20"/>
          <w:lang w:val="en-US"/>
        </w:rPr>
        <w:t>s</w:t>
      </w:r>
      <w:r w:rsidRPr="003046D8">
        <w:rPr>
          <w:rFonts w:ascii="Arial Narrow" w:hAnsi="Arial Narrow" w:cstheme="majorBidi"/>
          <w:bCs/>
          <w:sz w:val="20"/>
          <w:szCs w:val="20"/>
          <w:lang w:val="en-US"/>
        </w:rPr>
        <w:t xml:space="preserve"> of Islamic stocks in Indonesia</w:t>
      </w:r>
      <w:r w:rsidRPr="00CB216A">
        <w:rPr>
          <w:rFonts w:ascii="Arial Narrow" w:hAnsi="Arial Narrow" w:cstheme="majorBidi"/>
          <w:bCs/>
          <w:sz w:val="20"/>
          <w:szCs w:val="20"/>
          <w:lang w:val="en-US"/>
        </w:rPr>
        <w:t>. A total of 30 companies registered in the Jakarta Islamic Index were selected as samples of the study using purposive sampling techniques during the 2013-2017 period and estimated usin</w:t>
      </w:r>
      <w:r w:rsidRPr="00CB216A">
        <w:rPr>
          <w:rFonts w:ascii="Arial Narrow" w:hAnsi="Arial Narrow" w:cstheme="majorBidi"/>
          <w:bCs/>
          <w:sz w:val="20"/>
          <w:szCs w:val="20"/>
          <w:lang w:val="en-US"/>
        </w:rPr>
        <w:t xml:space="preserve">g the panel model of Generalized Least Square (GLS). This study found evidence of a positive and significant effect of profitability on the </w:t>
      </w:r>
      <w:r w:rsidR="00CB216A" w:rsidRPr="00CB216A">
        <w:rPr>
          <w:rFonts w:ascii="Arial Narrow" w:hAnsi="Arial Narrow" w:cstheme="majorBidi"/>
          <w:bCs/>
          <w:sz w:val="20"/>
          <w:szCs w:val="20"/>
          <w:lang w:val="en-US"/>
        </w:rPr>
        <w:t>Islamic</w:t>
      </w:r>
      <w:r w:rsidRPr="00CB216A">
        <w:rPr>
          <w:rFonts w:ascii="Arial Narrow" w:hAnsi="Arial Narrow" w:cstheme="majorBidi"/>
          <w:bCs/>
          <w:sz w:val="20"/>
          <w:szCs w:val="20"/>
          <w:lang w:val="en-US"/>
        </w:rPr>
        <w:t xml:space="preserve"> stock returns, while liquidity, solvency, and company size were documented to insignificant in affecting the</w:t>
      </w:r>
      <w:r w:rsidRPr="00CB216A">
        <w:rPr>
          <w:rFonts w:ascii="Arial Narrow" w:hAnsi="Arial Narrow" w:cstheme="majorBidi"/>
          <w:bCs/>
          <w:sz w:val="20"/>
          <w:szCs w:val="20"/>
          <w:lang w:val="en-US"/>
        </w:rPr>
        <w:t xml:space="preserve"> Islamic stock returns. The results of this study imply that to gain a maximum rate of returns, investors </w:t>
      </w:r>
      <w:r w:rsidR="00C51853" w:rsidRPr="00CB216A">
        <w:rPr>
          <w:rFonts w:ascii="Arial Narrow" w:hAnsi="Arial Narrow" w:cstheme="majorBidi"/>
          <w:bCs/>
          <w:sz w:val="20"/>
          <w:szCs w:val="20"/>
          <w:lang w:val="en-US"/>
        </w:rPr>
        <w:t xml:space="preserve">should </w:t>
      </w:r>
      <w:r w:rsidRPr="00CB216A">
        <w:rPr>
          <w:rFonts w:ascii="Arial Narrow" w:hAnsi="Arial Narrow" w:cstheme="majorBidi"/>
          <w:bCs/>
          <w:sz w:val="20"/>
          <w:szCs w:val="20"/>
          <w:lang w:val="en-US"/>
        </w:rPr>
        <w:t xml:space="preserve">pay attention to the </w:t>
      </w:r>
      <w:r w:rsidR="00C51853" w:rsidRPr="00CB216A">
        <w:rPr>
          <w:rFonts w:ascii="Arial Narrow" w:hAnsi="Arial Narrow" w:cstheme="majorBidi"/>
          <w:bCs/>
          <w:sz w:val="20"/>
          <w:szCs w:val="20"/>
          <w:lang w:val="en-US"/>
        </w:rPr>
        <w:t xml:space="preserve">profitability gained by the </w:t>
      </w:r>
      <w:r w:rsidRPr="00CB216A">
        <w:rPr>
          <w:rFonts w:ascii="Arial Narrow" w:hAnsi="Arial Narrow" w:cstheme="majorBidi"/>
          <w:bCs/>
          <w:sz w:val="20"/>
          <w:szCs w:val="20"/>
          <w:lang w:val="en-US"/>
        </w:rPr>
        <w:t>companies listed on the Islamic stock market.</w:t>
      </w:r>
    </w:p>
    <w:p w:rsidR="00256C30" w:rsidRPr="00CB216A" w:rsidRDefault="0046403F" w:rsidP="002513C1">
      <w:pPr>
        <w:shd w:val="clear" w:color="auto" w:fill="FFFFFF" w:themeFill="background1"/>
        <w:spacing w:after="0" w:line="240" w:lineRule="auto"/>
        <w:jc w:val="both"/>
        <w:rPr>
          <w:rFonts w:ascii="Arial Narrow" w:hAnsi="Arial Narrow" w:cstheme="majorBidi"/>
          <w:bCs/>
          <w:sz w:val="20"/>
          <w:szCs w:val="20"/>
          <w:lang w:val="en-US"/>
        </w:rPr>
      </w:pPr>
      <w:r w:rsidRPr="00CB216A">
        <w:rPr>
          <w:rFonts w:ascii="Arial Narrow" w:hAnsi="Arial Narrow" w:cstheme="majorBidi"/>
          <w:b/>
          <w:bCs/>
          <w:sz w:val="20"/>
          <w:szCs w:val="20"/>
          <w:lang w:val="en-US"/>
        </w:rPr>
        <w:t>Keywords:</w:t>
      </w:r>
      <w:r w:rsidRPr="00CB216A">
        <w:rPr>
          <w:rFonts w:ascii="Arial Narrow" w:hAnsi="Arial Narrow" w:cstheme="majorBidi"/>
          <w:bCs/>
          <w:sz w:val="20"/>
          <w:szCs w:val="20"/>
          <w:lang w:val="en-US"/>
        </w:rPr>
        <w:t xml:space="preserve"> Islamic stock returns, </w:t>
      </w:r>
      <w:r w:rsidR="00755591" w:rsidRPr="00CB216A">
        <w:rPr>
          <w:rFonts w:ascii="Arial Narrow" w:hAnsi="Arial Narrow" w:cstheme="majorBidi"/>
          <w:bCs/>
          <w:sz w:val="20"/>
          <w:szCs w:val="20"/>
          <w:lang w:val="en-US"/>
        </w:rPr>
        <w:t>P</w:t>
      </w:r>
      <w:r w:rsidRPr="00CB216A">
        <w:rPr>
          <w:rFonts w:ascii="Arial Narrow" w:hAnsi="Arial Narrow" w:cstheme="majorBidi"/>
          <w:bCs/>
          <w:sz w:val="20"/>
          <w:szCs w:val="20"/>
          <w:lang w:val="en-US"/>
        </w:rPr>
        <w:t xml:space="preserve">rofitability, </w:t>
      </w:r>
      <w:r w:rsidR="00755591" w:rsidRPr="00CB216A">
        <w:rPr>
          <w:rFonts w:ascii="Arial Narrow" w:hAnsi="Arial Narrow" w:cstheme="majorBidi"/>
          <w:bCs/>
          <w:sz w:val="20"/>
          <w:szCs w:val="20"/>
          <w:lang w:val="en-US"/>
        </w:rPr>
        <w:t>L</w:t>
      </w:r>
      <w:r w:rsidRPr="00CB216A">
        <w:rPr>
          <w:rFonts w:ascii="Arial Narrow" w:hAnsi="Arial Narrow" w:cstheme="majorBidi"/>
          <w:bCs/>
          <w:sz w:val="20"/>
          <w:szCs w:val="20"/>
          <w:lang w:val="en-US"/>
        </w:rPr>
        <w:t xml:space="preserve">iquidity, </w:t>
      </w:r>
      <w:r w:rsidR="00755591" w:rsidRPr="00CB216A">
        <w:rPr>
          <w:rFonts w:ascii="Arial Narrow" w:hAnsi="Arial Narrow" w:cstheme="majorBidi"/>
          <w:bCs/>
          <w:sz w:val="20"/>
          <w:szCs w:val="20"/>
          <w:lang w:val="en-US"/>
        </w:rPr>
        <w:t>S</w:t>
      </w:r>
      <w:r w:rsidRPr="00CB216A">
        <w:rPr>
          <w:rFonts w:ascii="Arial Narrow" w:hAnsi="Arial Narrow" w:cstheme="majorBidi"/>
          <w:bCs/>
          <w:sz w:val="20"/>
          <w:szCs w:val="20"/>
          <w:lang w:val="en-US"/>
        </w:rPr>
        <w:t>olvency</w:t>
      </w:r>
      <w:r w:rsidR="00755591" w:rsidRPr="00CB216A">
        <w:rPr>
          <w:rFonts w:ascii="Arial Narrow" w:hAnsi="Arial Narrow" w:cstheme="majorBidi"/>
          <w:bCs/>
          <w:sz w:val="20"/>
          <w:szCs w:val="20"/>
          <w:lang w:val="en-US"/>
        </w:rPr>
        <w:t>, C</w:t>
      </w:r>
      <w:r w:rsidRPr="00CB216A">
        <w:rPr>
          <w:rFonts w:ascii="Arial Narrow" w:hAnsi="Arial Narrow" w:cstheme="majorBidi"/>
          <w:bCs/>
          <w:sz w:val="20"/>
          <w:szCs w:val="20"/>
          <w:lang w:val="en-US"/>
        </w:rPr>
        <w:t>ompany size</w:t>
      </w:r>
      <w:r w:rsidR="00755591" w:rsidRPr="00CB216A">
        <w:rPr>
          <w:rFonts w:ascii="Arial Narrow" w:hAnsi="Arial Narrow" w:cstheme="majorBidi"/>
          <w:bCs/>
          <w:sz w:val="20"/>
          <w:szCs w:val="20"/>
          <w:lang w:val="en-US"/>
        </w:rPr>
        <w:t>, Investment diversification</w:t>
      </w:r>
      <w:r w:rsidRPr="00CB216A">
        <w:rPr>
          <w:rFonts w:ascii="Arial Narrow" w:hAnsi="Arial Narrow" w:cstheme="majorBidi"/>
          <w:bCs/>
          <w:sz w:val="20"/>
          <w:szCs w:val="20"/>
          <w:lang w:val="en-US"/>
        </w:rPr>
        <w:t>.</w:t>
      </w:r>
    </w:p>
    <w:p w:rsidR="00256C30" w:rsidRPr="00CB216A" w:rsidRDefault="00256C30" w:rsidP="002513C1">
      <w:pPr>
        <w:shd w:val="clear" w:color="auto" w:fill="FFFFFF" w:themeFill="background1"/>
        <w:spacing w:after="0" w:line="240" w:lineRule="auto"/>
        <w:jc w:val="both"/>
        <w:rPr>
          <w:rFonts w:ascii="Arial Narrow" w:hAnsi="Arial Narrow" w:cstheme="majorBidi"/>
          <w:b/>
          <w:bCs/>
          <w:sz w:val="20"/>
          <w:szCs w:val="20"/>
          <w:lang w:val="en-US"/>
        </w:rPr>
      </w:pPr>
    </w:p>
    <w:p w:rsidR="00256C30" w:rsidRPr="00CB216A" w:rsidRDefault="0046403F" w:rsidP="002513C1">
      <w:pPr>
        <w:shd w:val="clear" w:color="auto" w:fill="FFFFFF" w:themeFill="background1"/>
        <w:spacing w:after="0" w:line="240" w:lineRule="auto"/>
        <w:jc w:val="both"/>
        <w:rPr>
          <w:rFonts w:ascii="Arial Narrow" w:hAnsi="Arial Narrow" w:cs="Times New Roman"/>
          <w:i/>
          <w:iCs/>
          <w:color w:val="000000" w:themeColor="text1"/>
          <w:sz w:val="20"/>
          <w:szCs w:val="20"/>
          <w:lang w:val="en-US"/>
        </w:rPr>
      </w:pPr>
      <w:r w:rsidRPr="00CB216A">
        <w:rPr>
          <w:rFonts w:ascii="Arial Narrow" w:hAnsi="Arial Narrow" w:cstheme="majorBidi"/>
          <w:b/>
          <w:bCs/>
          <w:i/>
          <w:sz w:val="20"/>
          <w:szCs w:val="20"/>
          <w:lang w:val="en-US"/>
        </w:rPr>
        <w:t>A</w:t>
      </w:r>
      <w:bookmarkStart w:id="0" w:name="_GoBack"/>
      <w:bookmarkEnd w:id="0"/>
      <w:r w:rsidR="00EB343E" w:rsidRPr="00CB216A">
        <w:rPr>
          <w:rFonts w:ascii="Arial Narrow" w:hAnsi="Arial Narrow" w:cstheme="majorBidi"/>
          <w:b/>
          <w:bCs/>
          <w:i/>
          <w:sz w:val="20"/>
          <w:szCs w:val="20"/>
          <w:lang w:val="en-US"/>
        </w:rPr>
        <w:t xml:space="preserve">bstrak </w:t>
      </w:r>
      <w:r w:rsidR="005A6657" w:rsidRPr="00CB216A">
        <w:rPr>
          <w:rFonts w:ascii="Arial Narrow" w:hAnsi="Arial Narrow" w:cstheme="majorBidi"/>
          <w:b/>
          <w:bCs/>
          <w:i/>
          <w:sz w:val="20"/>
          <w:szCs w:val="20"/>
          <w:lang w:val="en-US"/>
        </w:rPr>
        <w:t>-</w:t>
      </w:r>
      <w:r w:rsidR="00EB343E" w:rsidRPr="00CB216A">
        <w:rPr>
          <w:rFonts w:ascii="Arial Narrow" w:hAnsi="Arial Narrow" w:cstheme="majorBidi"/>
          <w:b/>
          <w:bCs/>
          <w:i/>
          <w:sz w:val="20"/>
          <w:szCs w:val="20"/>
          <w:lang w:val="en-US"/>
        </w:rPr>
        <w:t xml:space="preserve"> </w:t>
      </w:r>
      <w:r w:rsidR="006835CC" w:rsidRPr="00CB216A">
        <w:rPr>
          <w:rFonts w:ascii="Arial Narrow" w:hAnsi="Arial Narrow" w:cs="Times New Roman"/>
          <w:i/>
          <w:sz w:val="20"/>
          <w:szCs w:val="20"/>
          <w:lang w:val="en-US"/>
        </w:rPr>
        <w:t>P</w:t>
      </w:r>
      <w:r w:rsidRPr="00CB216A">
        <w:rPr>
          <w:rFonts w:ascii="Arial Narrow" w:hAnsi="Arial Narrow" w:cs="Times New Roman"/>
          <w:i/>
          <w:sz w:val="20"/>
          <w:szCs w:val="20"/>
          <w:lang w:val="en-US"/>
        </w:rPr>
        <w:t xml:space="preserve">enelitian ini </w:t>
      </w:r>
      <w:r w:rsidR="006835CC" w:rsidRPr="00CB216A">
        <w:rPr>
          <w:rFonts w:ascii="Arial Narrow" w:hAnsi="Arial Narrow" w:cs="Times New Roman"/>
          <w:i/>
          <w:sz w:val="20"/>
          <w:szCs w:val="20"/>
          <w:lang w:val="en-US"/>
        </w:rPr>
        <w:t>bertujuan</w:t>
      </w:r>
      <w:r w:rsidRPr="00CB216A">
        <w:rPr>
          <w:rFonts w:ascii="Arial Narrow" w:hAnsi="Arial Narrow" w:cs="Times New Roman"/>
          <w:i/>
          <w:sz w:val="20"/>
          <w:szCs w:val="20"/>
          <w:lang w:val="en-US"/>
        </w:rPr>
        <w:t xml:space="preserve"> untuk menguji</w:t>
      </w:r>
      <w:r w:rsidR="00EB343E" w:rsidRPr="00CB216A">
        <w:rPr>
          <w:rFonts w:ascii="Arial Narrow" w:hAnsi="Arial Narrow" w:cs="Times New Roman"/>
          <w:i/>
          <w:sz w:val="20"/>
          <w:szCs w:val="20"/>
          <w:lang w:val="en-US"/>
        </w:rPr>
        <w:t xml:space="preserve"> dan menganalisis </w:t>
      </w:r>
      <w:r w:rsidR="00755591" w:rsidRPr="00CB216A">
        <w:rPr>
          <w:rFonts w:ascii="Arial Narrow" w:hAnsi="Arial Narrow" w:cs="Times New Roman"/>
          <w:i/>
          <w:sz w:val="20"/>
          <w:szCs w:val="20"/>
          <w:lang w:val="en-US"/>
        </w:rPr>
        <w:t xml:space="preserve">pengaruh profitabilitas, likuiditas, solvabilitas, dan ukuran perusahaan terhadap </w:t>
      </w:r>
      <w:r w:rsidR="00EB343E" w:rsidRPr="00CB216A">
        <w:rPr>
          <w:rFonts w:ascii="Arial Narrow" w:hAnsi="Arial Narrow" w:cs="Times New Roman"/>
          <w:i/>
          <w:sz w:val="20"/>
          <w:szCs w:val="20"/>
          <w:lang w:val="en-US"/>
        </w:rPr>
        <w:t xml:space="preserve">tingkat pengembalian </w:t>
      </w:r>
      <w:r w:rsidRPr="00CB216A">
        <w:rPr>
          <w:rFonts w:ascii="Arial Narrow" w:hAnsi="Arial Narrow" w:cs="Times New Roman"/>
          <w:i/>
          <w:color w:val="000000" w:themeColor="text1"/>
          <w:sz w:val="20"/>
          <w:szCs w:val="20"/>
          <w:lang w:val="en-US"/>
        </w:rPr>
        <w:t xml:space="preserve">saham syariah </w:t>
      </w:r>
      <w:r w:rsidR="00EB343E" w:rsidRPr="00CB216A">
        <w:rPr>
          <w:rFonts w:ascii="Arial Narrow" w:hAnsi="Arial Narrow" w:cs="Times New Roman"/>
          <w:i/>
          <w:color w:val="000000" w:themeColor="text1"/>
          <w:sz w:val="20"/>
          <w:szCs w:val="20"/>
          <w:lang w:val="en-US"/>
        </w:rPr>
        <w:t>di Indonesia</w:t>
      </w:r>
      <w:r w:rsidR="006835CC" w:rsidRPr="00CB216A">
        <w:rPr>
          <w:rFonts w:ascii="Arial Narrow" w:hAnsi="Arial Narrow" w:cs="Times New Roman"/>
          <w:i/>
          <w:color w:val="000000" w:themeColor="text1"/>
          <w:sz w:val="20"/>
          <w:szCs w:val="20"/>
          <w:lang w:val="en-US"/>
        </w:rPr>
        <w:t>.</w:t>
      </w:r>
      <w:r w:rsidR="00EB343E" w:rsidRPr="00CB216A">
        <w:rPr>
          <w:rFonts w:ascii="Arial Narrow" w:hAnsi="Arial Narrow" w:cs="Times New Roman"/>
          <w:i/>
          <w:color w:val="000000" w:themeColor="text1"/>
          <w:sz w:val="20"/>
          <w:szCs w:val="20"/>
          <w:lang w:val="en-US"/>
        </w:rPr>
        <w:t xml:space="preserve"> Sebanyak 30 perusahaan yang terdaftar di Jakarta Islamic Index</w:t>
      </w:r>
      <w:r w:rsidR="006835CC" w:rsidRPr="00CB216A">
        <w:rPr>
          <w:rFonts w:ascii="Arial Narrow" w:hAnsi="Arial Narrow" w:cs="Times New Roman"/>
          <w:i/>
          <w:color w:val="000000" w:themeColor="text1"/>
          <w:sz w:val="20"/>
          <w:szCs w:val="20"/>
          <w:lang w:val="en-US"/>
        </w:rPr>
        <w:t xml:space="preserve"> </w:t>
      </w:r>
      <w:r w:rsidR="00EB343E" w:rsidRPr="00CB216A">
        <w:rPr>
          <w:rFonts w:ascii="Arial Narrow" w:hAnsi="Arial Narrow" w:cs="Times New Roman"/>
          <w:i/>
          <w:color w:val="000000" w:themeColor="text1"/>
          <w:sz w:val="20"/>
          <w:szCs w:val="20"/>
          <w:lang w:val="en-US"/>
        </w:rPr>
        <w:t xml:space="preserve">dipilih sebagai sampel dalam penelitian ini dengan </w:t>
      </w:r>
      <w:r w:rsidRPr="00CB216A">
        <w:rPr>
          <w:rFonts w:ascii="Arial Narrow" w:hAnsi="Arial Narrow" w:cs="Times New Roman"/>
          <w:i/>
          <w:color w:val="000000" w:themeColor="text1"/>
          <w:sz w:val="20"/>
          <w:szCs w:val="20"/>
          <w:lang w:val="en-US"/>
        </w:rPr>
        <w:t xml:space="preserve">menggunakan </w:t>
      </w:r>
      <w:r w:rsidR="00EB343E" w:rsidRPr="00CB216A">
        <w:rPr>
          <w:rFonts w:ascii="Arial Narrow" w:hAnsi="Arial Narrow" w:cs="Times New Roman"/>
          <w:i/>
          <w:color w:val="000000" w:themeColor="text1"/>
          <w:sz w:val="20"/>
          <w:szCs w:val="20"/>
          <w:lang w:val="en-US"/>
        </w:rPr>
        <w:t xml:space="preserve">teknik </w:t>
      </w:r>
      <w:r w:rsidRPr="00CB216A">
        <w:rPr>
          <w:rFonts w:ascii="Arial Narrow" w:hAnsi="Arial Narrow" w:cs="Times New Roman"/>
          <w:i/>
          <w:color w:val="000000" w:themeColor="text1"/>
          <w:sz w:val="20"/>
          <w:szCs w:val="20"/>
          <w:lang w:val="en-US"/>
        </w:rPr>
        <w:t xml:space="preserve">purposive sampling </w:t>
      </w:r>
      <w:r w:rsidR="00EB343E" w:rsidRPr="00CB216A">
        <w:rPr>
          <w:rFonts w:ascii="Arial Narrow" w:hAnsi="Arial Narrow" w:cs="Times New Roman"/>
          <w:i/>
          <w:color w:val="000000" w:themeColor="text1"/>
          <w:sz w:val="20"/>
          <w:szCs w:val="20"/>
          <w:lang w:val="en-US"/>
        </w:rPr>
        <w:t>selama periode 2013-2017 (</w:t>
      </w:r>
      <w:r w:rsidRPr="00CB216A">
        <w:rPr>
          <w:rFonts w:ascii="Arial Narrow" w:hAnsi="Arial Narrow" w:cs="Times New Roman"/>
          <w:i/>
          <w:color w:val="000000" w:themeColor="text1"/>
          <w:sz w:val="20"/>
          <w:szCs w:val="20"/>
          <w:lang w:val="en-US"/>
        </w:rPr>
        <w:t>8</w:t>
      </w:r>
      <w:r w:rsidR="006835CC" w:rsidRPr="00CB216A">
        <w:rPr>
          <w:rFonts w:ascii="Arial Narrow" w:hAnsi="Arial Narrow" w:cs="Times New Roman"/>
          <w:i/>
          <w:color w:val="000000" w:themeColor="text1"/>
          <w:sz w:val="20"/>
          <w:szCs w:val="20"/>
          <w:lang w:val="en-US"/>
        </w:rPr>
        <w:t xml:space="preserve">5 </w:t>
      </w:r>
      <w:r w:rsidR="00EB343E" w:rsidRPr="00CB216A">
        <w:rPr>
          <w:rFonts w:ascii="Arial Narrow" w:hAnsi="Arial Narrow" w:cs="Times New Roman"/>
          <w:i/>
          <w:color w:val="000000" w:themeColor="text1"/>
          <w:sz w:val="20"/>
          <w:szCs w:val="20"/>
          <w:lang w:val="en-US"/>
        </w:rPr>
        <w:t>observasi) dan diestimasi dengan model panel Generalized Least Square.</w:t>
      </w:r>
      <w:r w:rsidRPr="00CB216A">
        <w:rPr>
          <w:rFonts w:ascii="Arial Narrow" w:hAnsi="Arial Narrow" w:cs="Times New Roman"/>
          <w:i/>
          <w:color w:val="000000" w:themeColor="text1"/>
          <w:sz w:val="20"/>
          <w:szCs w:val="20"/>
          <w:lang w:val="en-US"/>
        </w:rPr>
        <w:t xml:space="preserve"> </w:t>
      </w:r>
      <w:r w:rsidRPr="00CB216A">
        <w:rPr>
          <w:rFonts w:ascii="Arial Narrow" w:hAnsi="Arial Narrow" w:cstheme="majorBidi"/>
          <w:i/>
          <w:sz w:val="20"/>
          <w:szCs w:val="20"/>
          <w:lang w:val="en-US"/>
        </w:rPr>
        <w:t xml:space="preserve">Penelitian ini menemukan bukti bahwa profitabilitas berpengaruh </w:t>
      </w:r>
      <w:r w:rsidR="00EB343E" w:rsidRPr="00CB216A">
        <w:rPr>
          <w:rFonts w:ascii="Arial Narrow" w:hAnsi="Arial Narrow" w:cstheme="majorBidi"/>
          <w:i/>
          <w:sz w:val="20"/>
          <w:szCs w:val="20"/>
          <w:lang w:val="en-US"/>
        </w:rPr>
        <w:t xml:space="preserve">positif dan signifikan </w:t>
      </w:r>
      <w:r w:rsidRPr="00CB216A">
        <w:rPr>
          <w:rFonts w:ascii="Arial Narrow" w:hAnsi="Arial Narrow" w:cstheme="majorBidi"/>
          <w:i/>
          <w:sz w:val="20"/>
          <w:szCs w:val="20"/>
          <w:lang w:val="en-US"/>
        </w:rPr>
        <w:t xml:space="preserve">terhadap </w:t>
      </w:r>
      <w:r w:rsidR="00EB343E" w:rsidRPr="00CB216A">
        <w:rPr>
          <w:rFonts w:ascii="Arial Narrow" w:hAnsi="Arial Narrow" w:cstheme="majorBidi"/>
          <w:i/>
          <w:sz w:val="20"/>
          <w:szCs w:val="20"/>
          <w:lang w:val="en-US"/>
        </w:rPr>
        <w:t xml:space="preserve">tingkat pengembalian </w:t>
      </w:r>
      <w:r w:rsidRPr="00CB216A">
        <w:rPr>
          <w:rFonts w:ascii="Arial Narrow" w:hAnsi="Arial Narrow" w:cstheme="majorBidi"/>
          <w:i/>
          <w:sz w:val="20"/>
          <w:szCs w:val="20"/>
          <w:lang w:val="en-US"/>
        </w:rPr>
        <w:t xml:space="preserve">saham syariah, sedangkan likuiditas, solvabilitas, dan ukuran perusahaan </w:t>
      </w:r>
      <w:r w:rsidRPr="00CB216A">
        <w:rPr>
          <w:rFonts w:ascii="Arial Narrow" w:hAnsi="Arial Narrow" w:cs="Times New Roman"/>
          <w:i/>
          <w:iCs/>
          <w:color w:val="000000" w:themeColor="text1"/>
          <w:sz w:val="20"/>
          <w:szCs w:val="20"/>
          <w:lang w:val="en-US"/>
        </w:rPr>
        <w:t xml:space="preserve">tidak berpengaruh </w:t>
      </w:r>
      <w:r w:rsidR="00EB343E" w:rsidRPr="00CB216A">
        <w:rPr>
          <w:rFonts w:ascii="Arial Narrow" w:hAnsi="Arial Narrow" w:cs="Times New Roman"/>
          <w:i/>
          <w:iCs/>
          <w:color w:val="000000" w:themeColor="text1"/>
          <w:sz w:val="20"/>
          <w:szCs w:val="20"/>
          <w:lang w:val="en-US"/>
        </w:rPr>
        <w:t xml:space="preserve">signifikan </w:t>
      </w:r>
      <w:r w:rsidRPr="00CB216A">
        <w:rPr>
          <w:rFonts w:ascii="Arial Narrow" w:hAnsi="Arial Narrow" w:cs="Times New Roman"/>
          <w:i/>
          <w:iCs/>
          <w:color w:val="000000" w:themeColor="text1"/>
          <w:sz w:val="20"/>
          <w:szCs w:val="20"/>
          <w:lang w:val="en-US"/>
        </w:rPr>
        <w:t>terhadap</w:t>
      </w:r>
      <w:r w:rsidR="00EB343E" w:rsidRPr="00CB216A">
        <w:rPr>
          <w:rFonts w:ascii="Arial Narrow" w:hAnsi="Arial Narrow" w:cs="Times New Roman"/>
          <w:i/>
          <w:iCs/>
          <w:color w:val="000000" w:themeColor="text1"/>
          <w:sz w:val="20"/>
          <w:szCs w:val="20"/>
          <w:lang w:val="en-US"/>
        </w:rPr>
        <w:t xml:space="preserve"> tingkat pengembalian </w:t>
      </w:r>
      <w:r w:rsidRPr="00CB216A">
        <w:rPr>
          <w:rFonts w:ascii="Arial Narrow" w:hAnsi="Arial Narrow" w:cs="Times New Roman"/>
          <w:i/>
          <w:iCs/>
          <w:color w:val="000000" w:themeColor="text1"/>
          <w:sz w:val="20"/>
          <w:szCs w:val="20"/>
          <w:lang w:val="en-US"/>
        </w:rPr>
        <w:t>saham syariah.</w:t>
      </w:r>
      <w:r w:rsidR="00EB343E" w:rsidRPr="00CB216A">
        <w:rPr>
          <w:rFonts w:ascii="Arial Narrow" w:hAnsi="Arial Narrow" w:cs="Times New Roman"/>
          <w:i/>
          <w:iCs/>
          <w:color w:val="000000" w:themeColor="text1"/>
          <w:sz w:val="20"/>
          <w:szCs w:val="20"/>
          <w:lang w:val="en-US"/>
        </w:rPr>
        <w:t xml:space="preserve"> </w:t>
      </w:r>
      <w:r w:rsidRPr="00CB216A">
        <w:rPr>
          <w:rFonts w:ascii="Arial Narrow" w:hAnsi="Arial Narrow" w:cs="Times New Roman"/>
          <w:i/>
          <w:iCs/>
          <w:color w:val="000000" w:themeColor="text1"/>
          <w:sz w:val="20"/>
          <w:szCs w:val="20"/>
          <w:lang w:val="en-US"/>
        </w:rPr>
        <w:t>Hasil penelitian ini menunjukkan bahwa untuk memaksimumkan tingkat pengembalian, investor harus memperhatikan keuntungan yang diperolehi perusahaan yang terdaftar di pasar saham syariah.</w:t>
      </w:r>
    </w:p>
    <w:p w:rsidR="00606B03" w:rsidRPr="00CB216A" w:rsidRDefault="0046403F" w:rsidP="002513C1">
      <w:pPr>
        <w:shd w:val="clear" w:color="auto" w:fill="FFFFFF" w:themeFill="background1"/>
        <w:spacing w:after="0" w:line="240" w:lineRule="auto"/>
        <w:jc w:val="both"/>
        <w:rPr>
          <w:rFonts w:ascii="Arial Narrow" w:hAnsi="Arial Narrow" w:cs="Times New Roman"/>
          <w:i/>
          <w:iCs/>
          <w:color w:val="000000" w:themeColor="text1"/>
          <w:sz w:val="20"/>
          <w:szCs w:val="20"/>
          <w:lang w:val="en-US"/>
        </w:rPr>
      </w:pPr>
      <w:r w:rsidRPr="00CB216A">
        <w:rPr>
          <w:rFonts w:ascii="Arial Narrow" w:hAnsi="Arial Narrow" w:cstheme="majorBidi"/>
          <w:b/>
          <w:i/>
          <w:sz w:val="20"/>
          <w:szCs w:val="20"/>
          <w:lang w:val="en-US"/>
        </w:rPr>
        <w:t>Kata Kunci</w:t>
      </w:r>
      <w:r w:rsidRPr="00CB216A">
        <w:rPr>
          <w:rFonts w:ascii="Arial Narrow" w:hAnsi="Arial Narrow" w:cstheme="majorBidi"/>
          <w:i/>
          <w:sz w:val="20"/>
          <w:szCs w:val="20"/>
          <w:lang w:val="en-US"/>
        </w:rPr>
        <w:t xml:space="preserve">: </w:t>
      </w:r>
      <w:r w:rsidR="00755591" w:rsidRPr="00CB216A">
        <w:rPr>
          <w:rFonts w:ascii="Arial Narrow" w:hAnsi="Arial Narrow" w:cs="Times New Roman"/>
          <w:i/>
          <w:iCs/>
          <w:color w:val="000000" w:themeColor="text1"/>
          <w:sz w:val="20"/>
          <w:szCs w:val="20"/>
          <w:lang w:val="en-US"/>
        </w:rPr>
        <w:t>R</w:t>
      </w:r>
      <w:r w:rsidRPr="00CB216A">
        <w:rPr>
          <w:rFonts w:ascii="Arial Narrow" w:hAnsi="Arial Narrow" w:cs="Times New Roman"/>
          <w:i/>
          <w:iCs/>
          <w:color w:val="000000" w:themeColor="text1"/>
          <w:sz w:val="20"/>
          <w:szCs w:val="20"/>
          <w:lang w:val="en-US"/>
        </w:rPr>
        <w:t xml:space="preserve">eturn saham syariah, </w:t>
      </w:r>
      <w:r w:rsidR="00755591" w:rsidRPr="00CB216A">
        <w:rPr>
          <w:rFonts w:ascii="Arial Narrow" w:hAnsi="Arial Narrow" w:cs="Times New Roman"/>
          <w:i/>
          <w:iCs/>
          <w:color w:val="000000" w:themeColor="text1"/>
          <w:sz w:val="20"/>
          <w:szCs w:val="20"/>
          <w:lang w:val="en-US"/>
        </w:rPr>
        <w:t>P</w:t>
      </w:r>
      <w:r w:rsidRPr="00CB216A">
        <w:rPr>
          <w:rFonts w:ascii="Arial Narrow" w:hAnsi="Arial Narrow" w:cs="Times New Roman"/>
          <w:i/>
          <w:iCs/>
          <w:color w:val="000000" w:themeColor="text1"/>
          <w:sz w:val="20"/>
          <w:szCs w:val="20"/>
          <w:lang w:val="en-US"/>
        </w:rPr>
        <w:t xml:space="preserve">rofitabilitas, </w:t>
      </w:r>
      <w:r w:rsidR="00755591" w:rsidRPr="00CB216A">
        <w:rPr>
          <w:rFonts w:ascii="Arial Narrow" w:hAnsi="Arial Narrow" w:cs="Times New Roman"/>
          <w:i/>
          <w:iCs/>
          <w:color w:val="000000" w:themeColor="text1"/>
          <w:sz w:val="20"/>
          <w:szCs w:val="20"/>
          <w:lang w:val="en-US"/>
        </w:rPr>
        <w:t>L</w:t>
      </w:r>
      <w:r w:rsidRPr="00CB216A">
        <w:rPr>
          <w:rFonts w:ascii="Arial Narrow" w:hAnsi="Arial Narrow" w:cs="Times New Roman"/>
          <w:i/>
          <w:iCs/>
          <w:color w:val="000000" w:themeColor="text1"/>
          <w:sz w:val="20"/>
          <w:szCs w:val="20"/>
          <w:lang w:val="en-US"/>
        </w:rPr>
        <w:t>iku</w:t>
      </w:r>
      <w:r w:rsidRPr="00CB216A">
        <w:rPr>
          <w:rFonts w:ascii="Arial Narrow" w:hAnsi="Arial Narrow" w:cs="Times New Roman"/>
          <w:i/>
          <w:iCs/>
          <w:color w:val="000000" w:themeColor="text1"/>
          <w:sz w:val="20"/>
          <w:szCs w:val="20"/>
          <w:lang w:val="en-US"/>
        </w:rPr>
        <w:t xml:space="preserve">iditas, </w:t>
      </w:r>
      <w:r w:rsidR="00755591" w:rsidRPr="00CB216A">
        <w:rPr>
          <w:rFonts w:ascii="Arial Narrow" w:hAnsi="Arial Narrow" w:cs="Times New Roman"/>
          <w:i/>
          <w:iCs/>
          <w:color w:val="000000" w:themeColor="text1"/>
          <w:sz w:val="20"/>
          <w:szCs w:val="20"/>
          <w:lang w:val="en-US"/>
        </w:rPr>
        <w:t>S</w:t>
      </w:r>
      <w:r w:rsidRPr="00CB216A">
        <w:rPr>
          <w:rFonts w:ascii="Arial Narrow" w:hAnsi="Arial Narrow" w:cs="Times New Roman"/>
          <w:i/>
          <w:iCs/>
          <w:color w:val="000000" w:themeColor="text1"/>
          <w:sz w:val="20"/>
          <w:szCs w:val="20"/>
          <w:lang w:val="en-US"/>
        </w:rPr>
        <w:t>olvabilitas</w:t>
      </w:r>
      <w:r w:rsidR="00755591" w:rsidRPr="00CB216A">
        <w:rPr>
          <w:rFonts w:ascii="Arial Narrow" w:hAnsi="Arial Narrow" w:cs="Times New Roman"/>
          <w:i/>
          <w:iCs/>
          <w:color w:val="000000" w:themeColor="text1"/>
          <w:sz w:val="20"/>
          <w:szCs w:val="20"/>
          <w:lang w:val="en-US"/>
        </w:rPr>
        <w:t>, U</w:t>
      </w:r>
      <w:r w:rsidRPr="00CB216A">
        <w:rPr>
          <w:rFonts w:ascii="Arial Narrow" w:hAnsi="Arial Narrow" w:cs="Times New Roman"/>
          <w:i/>
          <w:iCs/>
          <w:color w:val="000000" w:themeColor="text1"/>
          <w:sz w:val="20"/>
          <w:szCs w:val="20"/>
          <w:lang w:val="en-US"/>
        </w:rPr>
        <w:t>kuran perusahaan</w:t>
      </w:r>
      <w:r w:rsidR="00755591" w:rsidRPr="00CB216A">
        <w:rPr>
          <w:rFonts w:ascii="Arial Narrow" w:hAnsi="Arial Narrow" w:cs="Times New Roman"/>
          <w:i/>
          <w:iCs/>
          <w:color w:val="000000" w:themeColor="text1"/>
          <w:sz w:val="20"/>
          <w:szCs w:val="20"/>
          <w:lang w:val="en-US"/>
        </w:rPr>
        <w:t>, Diversifikasi investasi</w:t>
      </w:r>
      <w:r w:rsidRPr="00CB216A">
        <w:rPr>
          <w:rFonts w:ascii="Arial Narrow" w:hAnsi="Arial Narrow" w:cs="Times New Roman"/>
          <w:i/>
          <w:iCs/>
          <w:color w:val="000000" w:themeColor="text1"/>
          <w:sz w:val="20"/>
          <w:szCs w:val="20"/>
          <w:lang w:val="en-US"/>
        </w:rPr>
        <w:t>.</w:t>
      </w:r>
    </w:p>
    <w:p w:rsidR="00606B03" w:rsidRPr="00CB216A" w:rsidRDefault="00606B03" w:rsidP="002513C1">
      <w:pPr>
        <w:shd w:val="clear" w:color="auto" w:fill="FFFFFF" w:themeFill="background1"/>
        <w:spacing w:line="240" w:lineRule="auto"/>
        <w:jc w:val="both"/>
        <w:rPr>
          <w:rFonts w:ascii="Times New Roman" w:hAnsi="Times New Roman" w:cs="Times New Roman"/>
          <w:iCs/>
          <w:color w:val="000000" w:themeColor="text1"/>
          <w:lang w:val="en-US"/>
        </w:rPr>
      </w:pPr>
    </w:p>
    <w:p w:rsidR="00606B03"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INTRODUCTION</w:t>
      </w:r>
    </w:p>
    <w:p w:rsidR="00C51853"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Capital markets are avenues for investment activities that are not prohibited in Islam. Investments in the capital market are not prohibited as long as they are carried out in </w:t>
      </w:r>
      <w:r w:rsidRPr="00CB216A">
        <w:rPr>
          <w:rFonts w:ascii="Times New Roman" w:hAnsi="Times New Roman" w:cs="Times New Roman"/>
          <w:color w:val="000000" w:themeColor="text1"/>
          <w:sz w:val="24"/>
          <w:szCs w:val="24"/>
          <w:lang w:val="en-US"/>
        </w:rPr>
        <w:t>accordance with Islamic principles and do not conflict with the provisions outlined by Islam. One form of investment in the capital market is the purchase of stocks.</w:t>
      </w:r>
    </w:p>
    <w:p w:rsidR="00AA204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There are many types of stocks traded and classified according to certain criteria</w:t>
      </w:r>
      <w:r w:rsidR="007C14A0" w:rsidRPr="00CB216A">
        <w:rPr>
          <w:rFonts w:ascii="Times New Roman" w:hAnsi="Times New Roman" w:cs="Times New Roman"/>
          <w:color w:val="000000" w:themeColor="text1"/>
          <w:sz w:val="24"/>
          <w:szCs w:val="24"/>
          <w:lang w:val="en-US"/>
        </w:rPr>
        <w:t xml:space="preserve">, and one of them </w:t>
      </w:r>
      <w:r w:rsidRPr="00CB216A">
        <w:rPr>
          <w:rFonts w:ascii="Times New Roman" w:hAnsi="Times New Roman" w:cs="Times New Roman"/>
          <w:color w:val="000000" w:themeColor="text1"/>
          <w:sz w:val="24"/>
          <w:szCs w:val="24"/>
          <w:lang w:val="en-US"/>
        </w:rPr>
        <w:t xml:space="preserve">is Islamic stocks. </w:t>
      </w:r>
      <w:r w:rsidR="007C14A0" w:rsidRPr="00CB216A">
        <w:rPr>
          <w:rFonts w:ascii="Times New Roman" w:hAnsi="Times New Roman" w:cs="Times New Roman"/>
          <w:color w:val="000000" w:themeColor="text1"/>
          <w:sz w:val="24"/>
          <w:szCs w:val="24"/>
          <w:lang w:val="en-US"/>
        </w:rPr>
        <w:t xml:space="preserve">In Indonesia, the first Islamic stocks were launched on July 3, 2000 (Soemitra, 2014). Islamic stocks </w:t>
      </w:r>
      <w:r w:rsidRPr="00CB216A">
        <w:rPr>
          <w:rFonts w:ascii="Times New Roman" w:hAnsi="Times New Roman" w:cs="Times New Roman"/>
          <w:color w:val="000000" w:themeColor="text1"/>
          <w:sz w:val="24"/>
          <w:szCs w:val="24"/>
          <w:lang w:val="en-US"/>
        </w:rPr>
        <w:t xml:space="preserve">that were first published in the Indonesian capital market are company </w:t>
      </w:r>
      <w:r w:rsidR="007C14A0" w:rsidRPr="00CB216A">
        <w:rPr>
          <w:rFonts w:ascii="Times New Roman" w:hAnsi="Times New Roman" w:cs="Times New Roman"/>
          <w:color w:val="000000" w:themeColor="text1"/>
          <w:sz w:val="24"/>
          <w:szCs w:val="24"/>
          <w:lang w:val="en-US"/>
        </w:rPr>
        <w:t xml:space="preserve">stocks </w:t>
      </w:r>
      <w:r w:rsidRPr="00CB216A">
        <w:rPr>
          <w:rFonts w:ascii="Times New Roman" w:hAnsi="Times New Roman" w:cs="Times New Roman"/>
          <w:color w:val="000000" w:themeColor="text1"/>
          <w:sz w:val="24"/>
          <w:szCs w:val="24"/>
          <w:lang w:val="en-US"/>
        </w:rPr>
        <w:lastRenderedPageBreak/>
        <w:t>listed in Jakarta Islamic Index</w:t>
      </w:r>
      <w:r w:rsidR="007C14A0" w:rsidRPr="00CB216A">
        <w:rPr>
          <w:rFonts w:ascii="Times New Roman" w:hAnsi="Times New Roman" w:cs="Times New Roman"/>
          <w:color w:val="000000" w:themeColor="text1"/>
          <w:sz w:val="24"/>
          <w:szCs w:val="24"/>
          <w:lang w:val="en-US"/>
        </w:rPr>
        <w:t xml:space="preserve"> (JII) (Huda and Nasution, 2014</w:t>
      </w:r>
      <w:r w:rsidRPr="00CB216A">
        <w:rPr>
          <w:rFonts w:ascii="Times New Roman" w:hAnsi="Times New Roman" w:cs="Times New Roman"/>
          <w:color w:val="000000" w:themeColor="text1"/>
          <w:sz w:val="24"/>
          <w:szCs w:val="24"/>
          <w:lang w:val="en-US"/>
        </w:rPr>
        <w:t xml:space="preserve">). </w:t>
      </w:r>
      <w:r w:rsidR="007C14A0" w:rsidRPr="00CB216A">
        <w:rPr>
          <w:rFonts w:ascii="Times New Roman" w:hAnsi="Times New Roman" w:cs="Times New Roman"/>
          <w:color w:val="000000" w:themeColor="text1"/>
          <w:sz w:val="24"/>
          <w:szCs w:val="24"/>
          <w:lang w:val="en-US"/>
        </w:rPr>
        <w:t>In investing in stocks, unlike c</w:t>
      </w:r>
      <w:r w:rsidRPr="00CB216A">
        <w:rPr>
          <w:rFonts w:ascii="Times New Roman" w:hAnsi="Times New Roman" w:cs="Times New Roman"/>
          <w:color w:val="000000" w:themeColor="text1"/>
          <w:sz w:val="24"/>
          <w:szCs w:val="24"/>
          <w:lang w:val="en-US"/>
        </w:rPr>
        <w:t>onventional investors</w:t>
      </w:r>
      <w:r w:rsidR="007C14A0" w:rsidRPr="00CB216A">
        <w:rPr>
          <w:rFonts w:ascii="Times New Roman" w:hAnsi="Times New Roman" w:cs="Times New Roman"/>
          <w:color w:val="000000" w:themeColor="text1"/>
          <w:sz w:val="24"/>
          <w:szCs w:val="24"/>
          <w:lang w:val="en-US"/>
        </w:rPr>
        <w:t xml:space="preserve"> that expect </w:t>
      </w:r>
      <w:r w:rsidRPr="00CB216A">
        <w:rPr>
          <w:rFonts w:ascii="Times New Roman" w:hAnsi="Times New Roman" w:cs="Times New Roman"/>
          <w:color w:val="000000" w:themeColor="text1"/>
          <w:sz w:val="24"/>
          <w:szCs w:val="24"/>
          <w:lang w:val="en-US"/>
        </w:rPr>
        <w:t xml:space="preserve">to </w:t>
      </w:r>
      <w:r w:rsidR="007C14A0" w:rsidRPr="00CB216A">
        <w:rPr>
          <w:rFonts w:ascii="Times New Roman" w:hAnsi="Times New Roman" w:cs="Times New Roman"/>
          <w:color w:val="000000" w:themeColor="text1"/>
          <w:sz w:val="24"/>
          <w:szCs w:val="24"/>
          <w:lang w:val="en-US"/>
        </w:rPr>
        <w:t xml:space="preserve">gain </w:t>
      </w:r>
      <w:r w:rsidRPr="00CB216A">
        <w:rPr>
          <w:rFonts w:ascii="Times New Roman" w:hAnsi="Times New Roman" w:cs="Times New Roman"/>
          <w:color w:val="000000" w:themeColor="text1"/>
          <w:sz w:val="24"/>
          <w:szCs w:val="24"/>
          <w:lang w:val="en-US"/>
        </w:rPr>
        <w:t xml:space="preserve">the </w:t>
      </w:r>
      <w:r w:rsidR="007C14A0" w:rsidRPr="00CB216A">
        <w:rPr>
          <w:rFonts w:ascii="Times New Roman" w:hAnsi="Times New Roman" w:cs="Times New Roman"/>
          <w:color w:val="000000" w:themeColor="text1"/>
          <w:sz w:val="24"/>
          <w:szCs w:val="24"/>
          <w:lang w:val="en-US"/>
        </w:rPr>
        <w:t>highe</w:t>
      </w:r>
      <w:r w:rsidRPr="00CB216A">
        <w:rPr>
          <w:rFonts w:ascii="Times New Roman" w:hAnsi="Times New Roman" w:cs="Times New Roman"/>
          <w:color w:val="000000" w:themeColor="text1"/>
          <w:sz w:val="24"/>
          <w:szCs w:val="24"/>
          <w:lang w:val="en-US"/>
        </w:rPr>
        <w:t>st</w:t>
      </w:r>
      <w:r w:rsidR="007C14A0"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rate of return</w:t>
      </w:r>
      <w:r w:rsidR="007C14A0" w:rsidRPr="00CB216A">
        <w:rPr>
          <w:rFonts w:ascii="Times New Roman" w:hAnsi="Times New Roman" w:cs="Times New Roman"/>
          <w:color w:val="000000" w:themeColor="text1"/>
          <w:sz w:val="24"/>
          <w:szCs w:val="24"/>
          <w:lang w:val="en-US"/>
        </w:rPr>
        <w:t xml:space="preserve">s, </w:t>
      </w:r>
      <w:r w:rsidRPr="00CB216A">
        <w:rPr>
          <w:rFonts w:ascii="Times New Roman" w:hAnsi="Times New Roman" w:cs="Times New Roman"/>
          <w:color w:val="000000" w:themeColor="text1"/>
          <w:sz w:val="24"/>
          <w:szCs w:val="24"/>
          <w:lang w:val="en-US"/>
        </w:rPr>
        <w:t xml:space="preserve">Muslim investors do not only </w:t>
      </w:r>
      <w:r w:rsidR="007C14A0" w:rsidRPr="00CB216A">
        <w:rPr>
          <w:rFonts w:ascii="Times New Roman" w:hAnsi="Times New Roman" w:cs="Times New Roman"/>
          <w:color w:val="000000" w:themeColor="text1"/>
          <w:sz w:val="24"/>
          <w:szCs w:val="24"/>
          <w:lang w:val="en-US"/>
        </w:rPr>
        <w:t>expect to gain maximum returns</w:t>
      </w:r>
      <w:r w:rsidRPr="00CB216A">
        <w:rPr>
          <w:rFonts w:ascii="Times New Roman" w:hAnsi="Times New Roman" w:cs="Times New Roman"/>
          <w:color w:val="000000" w:themeColor="text1"/>
          <w:sz w:val="24"/>
          <w:szCs w:val="24"/>
          <w:lang w:val="en-US"/>
        </w:rPr>
        <w:t>, but their investments are also in harmony with the Islamic principles such</w:t>
      </w:r>
      <w:r w:rsidRPr="00CB216A">
        <w:rPr>
          <w:rFonts w:ascii="Times New Roman" w:hAnsi="Times New Roman" w:cs="Times New Roman"/>
          <w:color w:val="000000" w:themeColor="text1"/>
          <w:sz w:val="24"/>
          <w:szCs w:val="24"/>
          <w:lang w:val="en-US"/>
        </w:rPr>
        <w:t xml:space="preserve"> as free from interest (</w:t>
      </w:r>
      <w:r w:rsidRPr="00CB216A">
        <w:rPr>
          <w:rFonts w:ascii="Times New Roman" w:hAnsi="Times New Roman" w:cs="Times New Roman"/>
          <w:i/>
          <w:color w:val="000000" w:themeColor="text1"/>
          <w:sz w:val="24"/>
          <w:szCs w:val="24"/>
          <w:lang w:val="en-US"/>
        </w:rPr>
        <w:t>riba</w:t>
      </w:r>
      <w:r w:rsidRPr="00CB216A">
        <w:rPr>
          <w:rFonts w:ascii="Times New Roman" w:hAnsi="Times New Roman" w:cs="Times New Roman"/>
          <w:color w:val="000000" w:themeColor="text1"/>
          <w:sz w:val="24"/>
          <w:szCs w:val="24"/>
          <w:lang w:val="en-US"/>
        </w:rPr>
        <w:t>), uncertainty (</w:t>
      </w:r>
      <w:r w:rsidRPr="00CB216A">
        <w:rPr>
          <w:rFonts w:ascii="Times New Roman" w:hAnsi="Times New Roman" w:cs="Times New Roman"/>
          <w:i/>
          <w:color w:val="000000" w:themeColor="text1"/>
          <w:sz w:val="24"/>
          <w:szCs w:val="24"/>
          <w:lang w:val="en-US"/>
        </w:rPr>
        <w:t>gharar</w:t>
      </w:r>
      <w:r w:rsidRPr="00CB216A">
        <w:rPr>
          <w:rFonts w:ascii="Times New Roman" w:hAnsi="Times New Roman" w:cs="Times New Roman"/>
          <w:color w:val="000000" w:themeColor="text1"/>
          <w:sz w:val="24"/>
          <w:szCs w:val="24"/>
          <w:lang w:val="en-US"/>
        </w:rPr>
        <w:t>), gambling (</w:t>
      </w:r>
      <w:r w:rsidRPr="00CB216A">
        <w:rPr>
          <w:rFonts w:ascii="Times New Roman" w:hAnsi="Times New Roman" w:cs="Times New Roman"/>
          <w:i/>
          <w:color w:val="000000" w:themeColor="text1"/>
          <w:sz w:val="24"/>
          <w:szCs w:val="24"/>
          <w:lang w:val="en-US"/>
        </w:rPr>
        <w:t>maysir</w:t>
      </w:r>
      <w:r w:rsidRPr="00CB216A">
        <w:rPr>
          <w:rFonts w:ascii="Times New Roman" w:hAnsi="Times New Roman" w:cs="Times New Roman"/>
          <w:color w:val="000000" w:themeColor="text1"/>
          <w:sz w:val="24"/>
          <w:szCs w:val="24"/>
          <w:lang w:val="en-US"/>
        </w:rPr>
        <w:t xml:space="preserve">), and other exploitative activities. However, in reality, it is not easy to accumulate returns as expected since the returns of stock have been volatile from one period to another. </w:t>
      </w:r>
    </w:p>
    <w:p w:rsidR="00C51853"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sz w:val="24"/>
          <w:szCs w:val="24"/>
          <w:lang w:val="en-US"/>
        </w:rPr>
      </w:pPr>
      <w:r w:rsidRPr="00CB216A">
        <w:rPr>
          <w:rFonts w:ascii="Times New Roman" w:hAnsi="Times New Roman" w:cs="Times New Roman"/>
          <w:color w:val="000000" w:themeColor="text1"/>
          <w:sz w:val="24"/>
          <w:szCs w:val="24"/>
          <w:lang w:val="en-US"/>
        </w:rPr>
        <w:t xml:space="preserve">Table 1 illustrates the changes in returns of selected Islamic stocks listed in the JJII over the 2013 to 2017 period. </w:t>
      </w:r>
    </w:p>
    <w:p w:rsidR="00606B03" w:rsidRPr="00CB216A" w:rsidRDefault="0046403F" w:rsidP="002513C1">
      <w:pPr>
        <w:shd w:val="clear" w:color="auto" w:fill="FFFFFF" w:themeFill="background1"/>
        <w:spacing w:after="0" w:line="240" w:lineRule="auto"/>
        <w:jc w:val="center"/>
        <w:rPr>
          <w:rFonts w:ascii="Times New Roman" w:hAnsi="Times New Roman" w:cs="Times New Roman"/>
          <w:b/>
          <w:color w:val="000000"/>
          <w:sz w:val="24"/>
          <w:szCs w:val="24"/>
          <w:lang w:val="en-US"/>
        </w:rPr>
      </w:pPr>
      <w:r w:rsidRPr="00CB216A">
        <w:rPr>
          <w:rFonts w:ascii="Times New Roman" w:hAnsi="Times New Roman" w:cs="Times New Roman"/>
          <w:color w:val="000000"/>
          <w:sz w:val="24"/>
          <w:szCs w:val="24"/>
          <w:lang w:val="en-US"/>
        </w:rPr>
        <w:t>Table</w:t>
      </w:r>
      <w:r w:rsidR="00C51853" w:rsidRPr="00CB216A">
        <w:rPr>
          <w:rFonts w:ascii="Times New Roman" w:hAnsi="Times New Roman" w:cs="Times New Roman"/>
          <w:color w:val="000000"/>
          <w:sz w:val="24"/>
          <w:szCs w:val="24"/>
          <w:lang w:val="en-US"/>
        </w:rPr>
        <w:t xml:space="preserve"> </w:t>
      </w:r>
      <w:r w:rsidRPr="00CB216A">
        <w:rPr>
          <w:rFonts w:ascii="Times New Roman" w:hAnsi="Times New Roman" w:cs="Times New Roman"/>
          <w:color w:val="000000"/>
          <w:sz w:val="24"/>
          <w:szCs w:val="24"/>
          <w:lang w:val="en-US"/>
        </w:rPr>
        <w:t>1.</w:t>
      </w:r>
      <w:r w:rsidR="00C51853" w:rsidRPr="00CB216A">
        <w:rPr>
          <w:rFonts w:ascii="Times New Roman" w:hAnsi="Times New Roman" w:cs="Times New Roman"/>
          <w:color w:val="000000"/>
          <w:sz w:val="24"/>
          <w:szCs w:val="24"/>
          <w:lang w:val="en-US"/>
        </w:rPr>
        <w:t xml:space="preserve"> </w:t>
      </w:r>
      <w:r w:rsidR="00AA2046" w:rsidRPr="00CB216A">
        <w:rPr>
          <w:rFonts w:ascii="Times New Roman" w:hAnsi="Times New Roman" w:cs="Times New Roman"/>
          <w:color w:val="000000"/>
          <w:sz w:val="24"/>
          <w:szCs w:val="24"/>
          <w:lang w:val="en-US"/>
        </w:rPr>
        <w:t xml:space="preserve">The </w:t>
      </w:r>
      <w:r w:rsidR="00AA2046" w:rsidRPr="00CB216A">
        <w:rPr>
          <w:rFonts w:ascii="Times New Roman" w:hAnsi="Times New Roman" w:cs="Times New Roman"/>
          <w:color w:val="000000" w:themeColor="text1"/>
          <w:sz w:val="24"/>
          <w:szCs w:val="24"/>
          <w:lang w:val="en-US"/>
        </w:rPr>
        <w:t xml:space="preserve">Returns of </w:t>
      </w:r>
      <w:r w:rsidR="001C60FD" w:rsidRPr="00CB216A">
        <w:rPr>
          <w:rFonts w:ascii="Times New Roman" w:hAnsi="Times New Roman" w:cs="Times New Roman"/>
          <w:color w:val="000000" w:themeColor="text1"/>
          <w:sz w:val="24"/>
          <w:szCs w:val="24"/>
          <w:lang w:val="en-US"/>
        </w:rPr>
        <w:t>S</w:t>
      </w:r>
      <w:r w:rsidR="00AA2046" w:rsidRPr="00CB216A">
        <w:rPr>
          <w:rFonts w:ascii="Times New Roman" w:hAnsi="Times New Roman" w:cs="Times New Roman"/>
          <w:color w:val="000000" w:themeColor="text1"/>
          <w:sz w:val="24"/>
          <w:szCs w:val="24"/>
          <w:lang w:val="en-US"/>
        </w:rPr>
        <w:t xml:space="preserve">elected Islamic </w:t>
      </w:r>
      <w:r w:rsidR="001C60FD" w:rsidRPr="00CB216A">
        <w:rPr>
          <w:rFonts w:ascii="Times New Roman" w:hAnsi="Times New Roman" w:cs="Times New Roman"/>
          <w:color w:val="000000" w:themeColor="text1"/>
          <w:sz w:val="24"/>
          <w:szCs w:val="24"/>
          <w:lang w:val="en-US"/>
        </w:rPr>
        <w:t>S</w:t>
      </w:r>
      <w:r w:rsidR="00AA2046" w:rsidRPr="00CB216A">
        <w:rPr>
          <w:rFonts w:ascii="Times New Roman" w:hAnsi="Times New Roman" w:cs="Times New Roman"/>
          <w:color w:val="000000" w:themeColor="text1"/>
          <w:sz w:val="24"/>
          <w:szCs w:val="24"/>
          <w:lang w:val="en-US"/>
        </w:rPr>
        <w:t xml:space="preserve">tocks </w:t>
      </w:r>
      <w:r w:rsidR="001C60FD" w:rsidRPr="00CB216A">
        <w:rPr>
          <w:rFonts w:ascii="Times New Roman" w:hAnsi="Times New Roman" w:cs="Times New Roman"/>
          <w:color w:val="000000" w:themeColor="text1"/>
          <w:sz w:val="24"/>
          <w:szCs w:val="24"/>
          <w:lang w:val="en-US"/>
        </w:rPr>
        <w:t>L</w:t>
      </w:r>
      <w:r w:rsidR="00AA2046" w:rsidRPr="00CB216A">
        <w:rPr>
          <w:rFonts w:ascii="Times New Roman" w:hAnsi="Times New Roman" w:cs="Times New Roman"/>
          <w:color w:val="000000" w:themeColor="text1"/>
          <w:sz w:val="24"/>
          <w:szCs w:val="24"/>
          <w:lang w:val="en-US"/>
        </w:rPr>
        <w:t>isted in the JII, 2013</w:t>
      </w:r>
      <w:r w:rsidR="001C60FD" w:rsidRPr="00CB216A">
        <w:rPr>
          <w:rFonts w:ascii="Times New Roman" w:hAnsi="Times New Roman" w:cs="Times New Roman"/>
          <w:color w:val="000000" w:themeColor="text1"/>
          <w:sz w:val="24"/>
          <w:szCs w:val="24"/>
          <w:lang w:val="en-US"/>
        </w:rPr>
        <w:t>-</w:t>
      </w:r>
      <w:r w:rsidR="00AA2046" w:rsidRPr="00CB216A">
        <w:rPr>
          <w:rFonts w:ascii="Times New Roman" w:hAnsi="Times New Roman" w:cs="Times New Roman"/>
          <w:color w:val="000000" w:themeColor="text1"/>
          <w:sz w:val="24"/>
          <w:szCs w:val="24"/>
          <w:lang w:val="en-US"/>
        </w:rPr>
        <w:t>2017</w:t>
      </w:r>
    </w:p>
    <w:tbl>
      <w:tblPr>
        <w:tblStyle w:val="TableGrid"/>
        <w:tblW w:w="6694" w:type="dxa"/>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50"/>
        <w:gridCol w:w="709"/>
        <w:gridCol w:w="709"/>
        <w:gridCol w:w="709"/>
        <w:gridCol w:w="708"/>
        <w:gridCol w:w="709"/>
      </w:tblGrid>
      <w:tr w:rsidR="00A91EE8" w:rsidTr="00CC0B4B">
        <w:trPr>
          <w:trHeight w:val="20"/>
          <w:jc w:val="center"/>
        </w:trPr>
        <w:tc>
          <w:tcPr>
            <w:tcW w:w="3150" w:type="dxa"/>
            <w:vMerge w:val="restart"/>
            <w:tcBorders>
              <w:top w:val="single" w:sz="4" w:space="0" w:color="auto"/>
            </w:tcBorders>
            <w:vAlign w:val="center"/>
          </w:tcPr>
          <w:p w:rsidR="00CC0B4B" w:rsidRPr="00CB216A" w:rsidRDefault="0046403F" w:rsidP="002513C1">
            <w:pPr>
              <w:shd w:val="clear" w:color="auto" w:fill="FFFFFF" w:themeFill="background1"/>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Stock</w:t>
            </w:r>
          </w:p>
        </w:tc>
        <w:tc>
          <w:tcPr>
            <w:tcW w:w="3544" w:type="dxa"/>
            <w:gridSpan w:val="5"/>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Year</w:t>
            </w:r>
          </w:p>
        </w:tc>
      </w:tr>
      <w:tr w:rsidR="00A91EE8" w:rsidTr="00CC0B4B">
        <w:trPr>
          <w:trHeight w:val="20"/>
          <w:jc w:val="center"/>
        </w:trPr>
        <w:tc>
          <w:tcPr>
            <w:tcW w:w="3150" w:type="dxa"/>
            <w:vMerge/>
            <w:tcBorders>
              <w:bottom w:val="single" w:sz="4" w:space="0" w:color="auto"/>
            </w:tcBorders>
          </w:tcPr>
          <w:p w:rsidR="00CC0B4B" w:rsidRPr="00CB216A" w:rsidRDefault="00CC0B4B" w:rsidP="002513C1">
            <w:pPr>
              <w:shd w:val="clear" w:color="auto" w:fill="FFFFFF" w:themeFill="background1"/>
              <w:rPr>
                <w:rFonts w:ascii="Times New Roman" w:hAnsi="Times New Roman" w:cs="Times New Roman"/>
                <w:b/>
                <w:color w:val="000000"/>
                <w:sz w:val="20"/>
                <w:szCs w:val="20"/>
                <w:lang w:val="en-US"/>
              </w:rPr>
            </w:pP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2013</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2014</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2015</w:t>
            </w:r>
          </w:p>
        </w:tc>
        <w:tc>
          <w:tcPr>
            <w:tcW w:w="708"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2016</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2017</w:t>
            </w:r>
          </w:p>
        </w:tc>
      </w:tr>
      <w:tr w:rsidR="00A91EE8" w:rsidTr="00CC0B4B">
        <w:trPr>
          <w:trHeight w:val="20"/>
          <w:jc w:val="center"/>
        </w:trPr>
        <w:tc>
          <w:tcPr>
            <w:tcW w:w="3150" w:type="dxa"/>
            <w:tcBorders>
              <w:top w:val="single" w:sz="4" w:space="0" w:color="auto"/>
              <w:bottom w:val="single" w:sz="4" w:space="0" w:color="auto"/>
            </w:tcBorders>
          </w:tcPr>
          <w:p w:rsidR="00CC0B4B" w:rsidRPr="00CB216A" w:rsidRDefault="0046403F" w:rsidP="00CB216A">
            <w:pPr>
              <w:shd w:val="clear" w:color="auto" w:fill="FFFFFF" w:themeFill="background1"/>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A</w:t>
            </w:r>
            <w:r w:rsidR="00CB216A">
              <w:rPr>
                <w:rFonts w:ascii="Times New Roman" w:hAnsi="Times New Roman" w:cs="Times New Roman"/>
                <w:color w:val="000000"/>
                <w:sz w:val="20"/>
                <w:szCs w:val="20"/>
                <w:lang w:val="en-US"/>
              </w:rPr>
              <w:t>KR</w:t>
            </w:r>
            <w:r w:rsidRPr="00CB216A">
              <w:rPr>
                <w:rFonts w:ascii="Times New Roman" w:hAnsi="Times New Roman" w:cs="Times New Roman"/>
                <w:color w:val="000000"/>
                <w:sz w:val="20"/>
                <w:szCs w:val="20"/>
                <w:lang w:val="en-US"/>
              </w:rPr>
              <w:t xml:space="preserve"> Corporindo Tbk</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0.05</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-0.06</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0.74</w:t>
            </w:r>
          </w:p>
        </w:tc>
        <w:tc>
          <w:tcPr>
            <w:tcW w:w="708"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-0.16</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0.06</w:t>
            </w:r>
          </w:p>
        </w:tc>
      </w:tr>
      <w:tr w:rsidR="00A91EE8" w:rsidTr="00CC0B4B">
        <w:trPr>
          <w:trHeight w:val="20"/>
          <w:jc w:val="center"/>
        </w:trPr>
        <w:tc>
          <w:tcPr>
            <w:tcW w:w="3150" w:type="dxa"/>
            <w:tcBorders>
              <w:top w:val="single" w:sz="4" w:space="0" w:color="auto"/>
              <w:bottom w:val="single" w:sz="4" w:space="0" w:color="auto"/>
            </w:tcBorders>
          </w:tcPr>
          <w:p w:rsidR="00CC0B4B" w:rsidRPr="00CB216A" w:rsidRDefault="0046403F" w:rsidP="002513C1">
            <w:pPr>
              <w:shd w:val="clear" w:color="auto" w:fill="FFFFFF" w:themeFill="background1"/>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Indofood C</w:t>
            </w:r>
            <w:r w:rsidR="008129E4" w:rsidRPr="00CB216A">
              <w:rPr>
                <w:rFonts w:ascii="Times New Roman" w:hAnsi="Times New Roman" w:cs="Times New Roman"/>
                <w:color w:val="000000"/>
                <w:sz w:val="20"/>
                <w:szCs w:val="20"/>
                <w:lang w:val="en-US"/>
              </w:rPr>
              <w:t>BP</w:t>
            </w:r>
            <w:r w:rsidRPr="00CB216A">
              <w:rPr>
                <w:rFonts w:ascii="Times New Roman" w:hAnsi="Times New Roman" w:cs="Times New Roman"/>
                <w:color w:val="000000"/>
                <w:sz w:val="20"/>
                <w:szCs w:val="20"/>
                <w:lang w:val="en-US"/>
              </w:rPr>
              <w:t xml:space="preserve"> Sukses Makmur Tbk</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0.13</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0.02</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-0.23</w:t>
            </w:r>
          </w:p>
        </w:tc>
        <w:tc>
          <w:tcPr>
            <w:tcW w:w="708"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0.53</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-0.04</w:t>
            </w:r>
          </w:p>
        </w:tc>
      </w:tr>
      <w:tr w:rsidR="00A91EE8" w:rsidTr="00CC0B4B">
        <w:trPr>
          <w:trHeight w:val="20"/>
          <w:jc w:val="center"/>
        </w:trPr>
        <w:tc>
          <w:tcPr>
            <w:tcW w:w="3150" w:type="dxa"/>
            <w:tcBorders>
              <w:top w:val="single" w:sz="4" w:space="0" w:color="auto"/>
              <w:bottom w:val="single" w:sz="4" w:space="0" w:color="auto"/>
            </w:tcBorders>
          </w:tcPr>
          <w:p w:rsidR="00CC0B4B" w:rsidRPr="00CB216A" w:rsidRDefault="0046403F" w:rsidP="002513C1">
            <w:pPr>
              <w:shd w:val="clear" w:color="auto" w:fill="FFFFFF" w:themeFill="background1"/>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Telekomunikasi Indonesia Tbk</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0.76</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0.33</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0.08</w:t>
            </w:r>
          </w:p>
        </w:tc>
        <w:tc>
          <w:tcPr>
            <w:tcW w:w="708"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0.28</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0.12</w:t>
            </w:r>
          </w:p>
        </w:tc>
      </w:tr>
      <w:tr w:rsidR="00A91EE8" w:rsidTr="00CC0B4B">
        <w:trPr>
          <w:trHeight w:val="20"/>
          <w:jc w:val="center"/>
        </w:trPr>
        <w:tc>
          <w:tcPr>
            <w:tcW w:w="3150" w:type="dxa"/>
            <w:tcBorders>
              <w:top w:val="single" w:sz="4" w:space="0" w:color="auto"/>
              <w:bottom w:val="single" w:sz="4" w:space="0" w:color="auto"/>
            </w:tcBorders>
          </w:tcPr>
          <w:p w:rsidR="00CC0B4B" w:rsidRPr="00CB216A" w:rsidRDefault="0046403F" w:rsidP="002513C1">
            <w:pPr>
              <w:shd w:val="clear" w:color="auto" w:fill="FFFFFF" w:themeFill="background1"/>
              <w:jc w:val="both"/>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Unilever</w:t>
            </w:r>
            <w:r w:rsidR="008129E4" w:rsidRPr="00CB216A">
              <w:rPr>
                <w:rFonts w:ascii="Times New Roman" w:hAnsi="Times New Roman" w:cs="Times New Roman"/>
                <w:color w:val="000000"/>
                <w:sz w:val="20"/>
                <w:szCs w:val="20"/>
                <w:lang w:val="en-US"/>
              </w:rPr>
              <w:t xml:space="preserve"> Indonesia Tbk</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0.25</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0.24</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0.15</w:t>
            </w:r>
          </w:p>
        </w:tc>
        <w:tc>
          <w:tcPr>
            <w:tcW w:w="708"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0.05</w:t>
            </w:r>
          </w:p>
        </w:tc>
        <w:tc>
          <w:tcPr>
            <w:tcW w:w="709" w:type="dxa"/>
            <w:tcBorders>
              <w:top w:val="single" w:sz="4" w:space="0" w:color="auto"/>
              <w:bottom w:val="single" w:sz="4" w:space="0" w:color="auto"/>
            </w:tcBorders>
          </w:tcPr>
          <w:p w:rsidR="00CC0B4B" w:rsidRPr="00CB216A" w:rsidRDefault="0046403F" w:rsidP="002513C1">
            <w:pPr>
              <w:shd w:val="clear" w:color="auto" w:fill="FFFFFF" w:themeFill="background1"/>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0.44</w:t>
            </w:r>
          </w:p>
        </w:tc>
      </w:tr>
    </w:tbl>
    <w:p w:rsidR="00606B03" w:rsidRPr="00CB216A" w:rsidRDefault="0046403F" w:rsidP="002513C1">
      <w:pPr>
        <w:shd w:val="clear" w:color="auto" w:fill="FFFFFF" w:themeFill="background1"/>
        <w:spacing w:line="480" w:lineRule="auto"/>
        <w:rPr>
          <w:rFonts w:ascii="Times New Roman" w:hAnsi="Times New Roman" w:cs="Times New Roman"/>
          <w:color w:val="000000"/>
          <w:lang w:val="en-US"/>
        </w:rPr>
      </w:pPr>
      <w:r w:rsidRPr="00CB216A">
        <w:rPr>
          <w:rFonts w:ascii="Times New Roman" w:hAnsi="Times New Roman" w:cs="Times New Roman"/>
          <w:color w:val="000000"/>
          <w:lang w:val="en-US"/>
        </w:rPr>
        <w:t xml:space="preserve">        </w:t>
      </w:r>
      <w:r w:rsidR="00CC0B4B" w:rsidRPr="00CB216A">
        <w:rPr>
          <w:rFonts w:ascii="Times New Roman" w:hAnsi="Times New Roman" w:cs="Times New Roman"/>
          <w:color w:val="000000"/>
          <w:lang w:val="en-US"/>
        </w:rPr>
        <w:t xml:space="preserve"> </w:t>
      </w:r>
      <w:r w:rsidRPr="00CB216A">
        <w:rPr>
          <w:rFonts w:ascii="Times New Roman" w:hAnsi="Times New Roman" w:cs="Times New Roman"/>
          <w:color w:val="000000"/>
          <w:lang w:val="en-US"/>
        </w:rPr>
        <w:t xml:space="preserve"> S</w:t>
      </w:r>
      <w:r w:rsidR="00CC0B4B" w:rsidRPr="00CB216A">
        <w:rPr>
          <w:rFonts w:ascii="Times New Roman" w:hAnsi="Times New Roman" w:cs="Times New Roman"/>
          <w:color w:val="000000"/>
          <w:lang w:val="en-US"/>
        </w:rPr>
        <w:t>ource: JII, 2019 (Data processed).</w:t>
      </w:r>
    </w:p>
    <w:p w:rsidR="00E30A52"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As illustrated in Table 1, stock returns of the companies listed in the JII have fluctuated over the period 2013-2017. Of these companies, the stock of Telekomunikasi Indonesia Tbk was recorded to be the most volatile returns in 2013 by 76%, but in 2014 an</w:t>
      </w:r>
      <w:r w:rsidRPr="00CB216A">
        <w:rPr>
          <w:rFonts w:ascii="Times New Roman" w:hAnsi="Times New Roman" w:cs="Times New Roman"/>
          <w:color w:val="000000" w:themeColor="text1"/>
          <w:sz w:val="24"/>
          <w:szCs w:val="24"/>
          <w:lang w:val="en-US"/>
        </w:rPr>
        <w:t xml:space="preserve">d 2015 it continued to decline to 33% and 8%, respectively. Even though it increased to 28% in 2016, but it again decreased to 12% in 2017. </w:t>
      </w:r>
      <w:r w:rsidR="008129E4" w:rsidRPr="00CB216A">
        <w:rPr>
          <w:rFonts w:ascii="Times New Roman" w:hAnsi="Times New Roman" w:cs="Times New Roman"/>
          <w:color w:val="000000" w:themeColor="text1"/>
          <w:sz w:val="24"/>
          <w:szCs w:val="24"/>
          <w:lang w:val="en-US"/>
        </w:rPr>
        <w:t xml:space="preserve">The lowest returns were recorded by Indofood CBP Sukses Makmur Tbk in 2015 by -23%. On the average, the rate of returns of </w:t>
      </w:r>
      <w:r w:rsidR="00CB216A">
        <w:rPr>
          <w:rFonts w:ascii="Times New Roman" w:hAnsi="Times New Roman" w:cs="Times New Roman"/>
          <w:color w:val="000000"/>
          <w:sz w:val="24"/>
          <w:szCs w:val="24"/>
          <w:lang w:val="en-US"/>
        </w:rPr>
        <w:t>AKR</w:t>
      </w:r>
      <w:r w:rsidR="008129E4" w:rsidRPr="00CB216A">
        <w:rPr>
          <w:rFonts w:ascii="Times New Roman" w:hAnsi="Times New Roman" w:cs="Times New Roman"/>
          <w:color w:val="000000"/>
          <w:sz w:val="24"/>
          <w:szCs w:val="24"/>
          <w:lang w:val="en-US"/>
        </w:rPr>
        <w:t xml:space="preserve"> Corporindo Tbk, Indofood CBP Sukses Makmur Tbk, Telekomunikasi Indonesia Tbk, and Unilever Tbk was 18.7% over 2013-2017.  </w:t>
      </w:r>
    </w:p>
    <w:p w:rsidR="00240688" w:rsidRPr="00CB216A" w:rsidRDefault="0046403F" w:rsidP="008D4D17">
      <w:pPr>
        <w:shd w:val="clear" w:color="auto" w:fill="FFFFFF" w:themeFill="background1"/>
        <w:jc w:val="both"/>
        <w:rPr>
          <w:rFonts w:ascii="Arial" w:hAnsi="Arial" w:cs="Arial"/>
          <w:color w:val="FF0000"/>
          <w:sz w:val="14"/>
          <w:szCs w:val="14"/>
          <w:shd w:val="clear" w:color="auto" w:fill="FFFFFF"/>
          <w:lang w:val="en-US"/>
        </w:rPr>
      </w:pPr>
      <w:r w:rsidRPr="00CB216A">
        <w:rPr>
          <w:rFonts w:ascii="Times New Roman" w:hAnsi="Times New Roman" w:cs="Times New Roman"/>
          <w:color w:val="000000" w:themeColor="text1"/>
          <w:sz w:val="24"/>
          <w:szCs w:val="24"/>
          <w:lang w:val="en-US"/>
        </w:rPr>
        <w:t>Predic</w:t>
      </w:r>
      <w:r w:rsidRPr="00CB216A">
        <w:rPr>
          <w:rFonts w:ascii="Times New Roman" w:hAnsi="Times New Roman" w:cs="Times New Roman"/>
          <w:color w:val="000000" w:themeColor="text1"/>
          <w:sz w:val="24"/>
          <w:szCs w:val="24"/>
          <w:lang w:val="en-US"/>
        </w:rPr>
        <w:t>ting c</w:t>
      </w:r>
      <w:r w:rsidR="008129E4" w:rsidRPr="00CB216A">
        <w:rPr>
          <w:rFonts w:ascii="Times New Roman" w:hAnsi="Times New Roman" w:cs="Times New Roman"/>
          <w:color w:val="000000" w:themeColor="text1"/>
          <w:sz w:val="24"/>
          <w:szCs w:val="24"/>
          <w:lang w:val="en-US"/>
        </w:rPr>
        <w:t xml:space="preserve">hanges </w:t>
      </w:r>
      <w:r w:rsidRPr="00CB216A">
        <w:rPr>
          <w:rFonts w:ascii="Times New Roman" w:hAnsi="Times New Roman" w:cs="Times New Roman"/>
          <w:color w:val="000000" w:themeColor="text1"/>
          <w:sz w:val="24"/>
          <w:szCs w:val="24"/>
          <w:lang w:val="en-US"/>
        </w:rPr>
        <w:t xml:space="preserve">and the determinants of </w:t>
      </w:r>
      <w:r w:rsidR="008129E4" w:rsidRPr="00CB216A">
        <w:rPr>
          <w:rFonts w:ascii="Times New Roman" w:hAnsi="Times New Roman" w:cs="Times New Roman"/>
          <w:color w:val="000000" w:themeColor="text1"/>
          <w:sz w:val="24"/>
          <w:szCs w:val="24"/>
          <w:lang w:val="en-US"/>
        </w:rPr>
        <w:t>s</w:t>
      </w:r>
      <w:r w:rsidR="00E30A52" w:rsidRPr="00CB216A">
        <w:rPr>
          <w:rFonts w:ascii="Times New Roman" w:hAnsi="Times New Roman" w:cs="Times New Roman"/>
          <w:color w:val="000000" w:themeColor="text1"/>
          <w:sz w:val="24"/>
          <w:szCs w:val="24"/>
          <w:lang w:val="en-US"/>
        </w:rPr>
        <w:t xml:space="preserve">tock returns </w:t>
      </w:r>
      <w:r w:rsidR="008129E4" w:rsidRPr="00CB216A">
        <w:rPr>
          <w:rFonts w:ascii="Times New Roman" w:hAnsi="Times New Roman" w:cs="Times New Roman"/>
          <w:color w:val="000000" w:themeColor="text1"/>
          <w:sz w:val="24"/>
          <w:szCs w:val="24"/>
          <w:lang w:val="en-US"/>
        </w:rPr>
        <w:t xml:space="preserve">have a major concern </w:t>
      </w:r>
      <w:r w:rsidRPr="00CB216A">
        <w:rPr>
          <w:rFonts w:ascii="Times New Roman" w:hAnsi="Times New Roman" w:cs="Times New Roman"/>
          <w:color w:val="000000" w:themeColor="text1"/>
          <w:sz w:val="24"/>
          <w:szCs w:val="24"/>
          <w:lang w:val="en-US"/>
        </w:rPr>
        <w:t xml:space="preserve">not only for </w:t>
      </w:r>
      <w:r w:rsidR="00E30A52" w:rsidRPr="00CB216A">
        <w:rPr>
          <w:rFonts w:ascii="Times New Roman" w:hAnsi="Times New Roman" w:cs="Times New Roman"/>
          <w:color w:val="000000" w:themeColor="text1"/>
          <w:sz w:val="24"/>
          <w:szCs w:val="24"/>
          <w:lang w:val="en-US"/>
        </w:rPr>
        <w:t>investors</w:t>
      </w:r>
      <w:r w:rsidRPr="00CB216A">
        <w:rPr>
          <w:rFonts w:ascii="Times New Roman" w:hAnsi="Times New Roman" w:cs="Times New Roman"/>
          <w:color w:val="000000" w:themeColor="text1"/>
          <w:sz w:val="24"/>
          <w:szCs w:val="24"/>
          <w:lang w:val="en-US"/>
        </w:rPr>
        <w:t xml:space="preserve"> but also for </w:t>
      </w:r>
      <w:r w:rsidR="00E30A52" w:rsidRPr="00CB216A">
        <w:rPr>
          <w:rFonts w:ascii="Times New Roman" w:hAnsi="Times New Roman" w:cs="Times New Roman"/>
          <w:color w:val="000000" w:themeColor="text1"/>
          <w:sz w:val="24"/>
          <w:szCs w:val="24"/>
          <w:lang w:val="en-US"/>
        </w:rPr>
        <w:t xml:space="preserve">researchers. </w:t>
      </w:r>
      <w:r w:rsidRPr="00CB216A">
        <w:rPr>
          <w:rFonts w:ascii="Times New Roman" w:hAnsi="Times New Roman" w:cs="Times New Roman"/>
          <w:color w:val="000000" w:themeColor="text1"/>
          <w:sz w:val="24"/>
          <w:szCs w:val="24"/>
          <w:lang w:val="en-US"/>
        </w:rPr>
        <w:t xml:space="preserve">Many </w:t>
      </w:r>
      <w:r w:rsidR="00E30A52" w:rsidRPr="00CB216A">
        <w:rPr>
          <w:rFonts w:ascii="Times New Roman" w:hAnsi="Times New Roman" w:cs="Times New Roman"/>
          <w:color w:val="000000" w:themeColor="text1"/>
          <w:sz w:val="24"/>
          <w:szCs w:val="24"/>
          <w:lang w:val="en-US"/>
        </w:rPr>
        <w:t xml:space="preserve">factors </w:t>
      </w:r>
      <w:r w:rsidRPr="00CB216A">
        <w:rPr>
          <w:rFonts w:ascii="Times New Roman" w:hAnsi="Times New Roman" w:cs="Times New Roman"/>
          <w:color w:val="000000" w:themeColor="text1"/>
          <w:sz w:val="24"/>
          <w:szCs w:val="24"/>
          <w:lang w:val="en-US"/>
        </w:rPr>
        <w:t xml:space="preserve">have been identified in determining stock returns. These factors </w:t>
      </w:r>
      <w:r w:rsidR="00CB216A" w:rsidRPr="00CB216A">
        <w:rPr>
          <w:rFonts w:ascii="Times New Roman" w:hAnsi="Times New Roman" w:cs="Times New Roman"/>
          <w:color w:val="000000" w:themeColor="text1"/>
          <w:sz w:val="24"/>
          <w:szCs w:val="24"/>
          <w:lang w:val="en-US"/>
        </w:rPr>
        <w:t>include</w:t>
      </w:r>
      <w:r w:rsidRPr="00CB216A">
        <w:rPr>
          <w:rFonts w:ascii="Times New Roman" w:hAnsi="Times New Roman" w:cs="Times New Roman"/>
          <w:color w:val="000000" w:themeColor="text1"/>
          <w:sz w:val="24"/>
          <w:szCs w:val="24"/>
          <w:lang w:val="en-US"/>
        </w:rPr>
        <w:t xml:space="preserve"> </w:t>
      </w:r>
      <w:r w:rsidR="00E30A52" w:rsidRPr="00CB216A">
        <w:rPr>
          <w:rFonts w:ascii="Times New Roman" w:hAnsi="Times New Roman" w:cs="Times New Roman"/>
          <w:color w:val="000000" w:themeColor="text1"/>
          <w:sz w:val="24"/>
          <w:szCs w:val="24"/>
          <w:lang w:val="en-US"/>
        </w:rPr>
        <w:t>profitability (Fitriana et al.</w:t>
      </w:r>
      <w:r w:rsidRPr="00CB216A">
        <w:rPr>
          <w:rFonts w:ascii="Times New Roman" w:hAnsi="Times New Roman" w:cs="Times New Roman"/>
          <w:color w:val="000000" w:themeColor="text1"/>
          <w:sz w:val="24"/>
          <w:szCs w:val="24"/>
          <w:lang w:val="en-US"/>
        </w:rPr>
        <w:t>,</w:t>
      </w:r>
      <w:r w:rsidR="00E30A52" w:rsidRPr="00CB216A">
        <w:rPr>
          <w:rFonts w:ascii="Times New Roman" w:hAnsi="Times New Roman" w:cs="Times New Roman"/>
          <w:color w:val="000000" w:themeColor="text1"/>
          <w:sz w:val="24"/>
          <w:szCs w:val="24"/>
          <w:lang w:val="en-US"/>
        </w:rPr>
        <w:t xml:space="preserve"> 2016, Mariani et al.</w:t>
      </w:r>
      <w:r w:rsidRPr="00CB216A">
        <w:rPr>
          <w:rFonts w:ascii="Times New Roman" w:hAnsi="Times New Roman" w:cs="Times New Roman"/>
          <w:color w:val="000000" w:themeColor="text1"/>
          <w:sz w:val="24"/>
          <w:szCs w:val="24"/>
          <w:lang w:val="en-US"/>
        </w:rPr>
        <w:t>,</w:t>
      </w:r>
      <w:r w:rsidR="00E30A52" w:rsidRPr="00CB216A">
        <w:rPr>
          <w:rFonts w:ascii="Times New Roman" w:hAnsi="Times New Roman" w:cs="Times New Roman"/>
          <w:color w:val="000000" w:themeColor="text1"/>
          <w:sz w:val="24"/>
          <w:szCs w:val="24"/>
          <w:lang w:val="en-US"/>
        </w:rPr>
        <w:t xml:space="preserve"> 2016; Anwaar, 2016; Nandani and Surdjani, 2017; Araujo and Marchado, 2018), liquidity (Mayfi and Rudianto, 2014; Raningsih, 2014 and Putra, 2015; Parwati and Sudiartha, 2016; Anwaar, 2016; and Nandani and Surdjani, 2017), solvency (Widayanti and Haryanto, 2013; Erari, 2014; Rufaida and Hermanto, 2015; Bisara and Amanah, 2015</w:t>
      </w:r>
      <w:r w:rsidR="00E30A52" w:rsidRPr="00CB216A">
        <w:rPr>
          <w:rFonts w:ascii="Times New Roman" w:hAnsi="Times New Roman" w:cs="Times New Roman"/>
          <w:sz w:val="24"/>
          <w:szCs w:val="24"/>
          <w:lang w:val="en-US"/>
        </w:rPr>
        <w:t xml:space="preserve">; Putra and Dana, 2016; and Fitriana et al. 2016), company size </w:t>
      </w:r>
      <w:r w:rsidR="00E30A52" w:rsidRPr="00CB216A">
        <w:rPr>
          <w:rFonts w:ascii="Times New Roman" w:hAnsi="Times New Roman" w:cs="Times New Roman"/>
          <w:sz w:val="24"/>
          <w:szCs w:val="24"/>
          <w:lang w:val="en-US"/>
        </w:rPr>
        <w:lastRenderedPageBreak/>
        <w:t>(Sugiarto, 2011; Yuliantari and Sujana, 2014; Rosiana et al. 2014; and Raningsih and Putra, 2015)</w:t>
      </w:r>
      <w:r w:rsidRPr="00CB216A">
        <w:rPr>
          <w:rFonts w:ascii="Times New Roman" w:hAnsi="Times New Roman" w:cs="Times New Roman"/>
          <w:sz w:val="24"/>
          <w:szCs w:val="24"/>
          <w:lang w:val="en-US"/>
        </w:rPr>
        <w:t>, and many other cha</w:t>
      </w:r>
      <w:r w:rsidRPr="00CB216A">
        <w:rPr>
          <w:rFonts w:ascii="Times New Roman" w:hAnsi="Times New Roman" w:cs="Times New Roman"/>
          <w:sz w:val="24"/>
          <w:szCs w:val="24"/>
          <w:lang w:val="en-US"/>
        </w:rPr>
        <w:t>racteristics of firms (</w:t>
      </w:r>
      <w:r w:rsidRPr="00CB216A">
        <w:rPr>
          <w:rFonts w:ascii="Times New Roman" w:hAnsi="Times New Roman" w:cs="Times New Roman"/>
          <w:sz w:val="24"/>
          <w:szCs w:val="24"/>
          <w:shd w:val="clear" w:color="auto" w:fill="FFFFFF"/>
          <w:lang w:val="en-US"/>
        </w:rPr>
        <w:t>Basri et al., 2019; and Kasmon et al., 2016).</w:t>
      </w:r>
    </w:p>
    <w:p w:rsidR="00E30A52"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 </w:t>
      </w:r>
      <w:r w:rsidR="00862E92" w:rsidRPr="00CB216A">
        <w:rPr>
          <w:rFonts w:ascii="Times New Roman" w:hAnsi="Times New Roman" w:cs="Times New Roman"/>
          <w:color w:val="000000" w:themeColor="text1"/>
          <w:sz w:val="24"/>
          <w:szCs w:val="24"/>
          <w:lang w:val="en-US"/>
        </w:rPr>
        <w:t xml:space="preserve">Many previous studies on the determinants of the stock market have found mixed findings. For example, the studies by </w:t>
      </w:r>
      <w:r w:rsidRPr="00CB216A">
        <w:rPr>
          <w:rFonts w:ascii="Times New Roman" w:hAnsi="Times New Roman" w:cs="Times New Roman"/>
          <w:color w:val="000000" w:themeColor="text1"/>
          <w:sz w:val="24"/>
          <w:szCs w:val="24"/>
          <w:lang w:val="en-US"/>
        </w:rPr>
        <w:t xml:space="preserve">Fitriana et al. (2016), Mariani et al. (2016), Anwaar (2016), Nandani and Surdjani (2017), and Araujo and Marchado (2018) found that profitability affected </w:t>
      </w:r>
      <w:r w:rsidR="00862E92" w:rsidRPr="00CB216A">
        <w:rPr>
          <w:rFonts w:ascii="Times New Roman" w:hAnsi="Times New Roman" w:cs="Times New Roman"/>
          <w:color w:val="000000" w:themeColor="text1"/>
          <w:sz w:val="24"/>
          <w:szCs w:val="24"/>
          <w:lang w:val="en-US"/>
        </w:rPr>
        <w:t xml:space="preserve">positively </w:t>
      </w:r>
      <w:r w:rsidRPr="00CB216A">
        <w:rPr>
          <w:rFonts w:ascii="Times New Roman" w:hAnsi="Times New Roman" w:cs="Times New Roman"/>
          <w:color w:val="000000" w:themeColor="text1"/>
          <w:sz w:val="24"/>
          <w:szCs w:val="24"/>
          <w:lang w:val="en-US"/>
        </w:rPr>
        <w:t xml:space="preserve">stock returns. However, this contradicts the results of </w:t>
      </w:r>
      <w:r w:rsidR="00862E92" w:rsidRPr="00CB216A">
        <w:rPr>
          <w:rFonts w:ascii="Times New Roman" w:hAnsi="Times New Roman" w:cs="Times New Roman"/>
          <w:color w:val="000000" w:themeColor="text1"/>
          <w:sz w:val="24"/>
          <w:szCs w:val="24"/>
          <w:lang w:val="en-US"/>
        </w:rPr>
        <w:t xml:space="preserve">studies by </w:t>
      </w:r>
      <w:r w:rsidRPr="00CB216A">
        <w:rPr>
          <w:rFonts w:ascii="Times New Roman" w:hAnsi="Times New Roman" w:cs="Times New Roman"/>
          <w:color w:val="000000" w:themeColor="text1"/>
          <w:sz w:val="24"/>
          <w:szCs w:val="24"/>
          <w:lang w:val="en-US"/>
        </w:rPr>
        <w:t>Nidianti (2013), Rosia</w:t>
      </w:r>
      <w:r w:rsidRPr="00CB216A">
        <w:rPr>
          <w:rFonts w:ascii="Times New Roman" w:hAnsi="Times New Roman" w:cs="Times New Roman"/>
          <w:color w:val="000000" w:themeColor="text1"/>
          <w:sz w:val="24"/>
          <w:szCs w:val="24"/>
          <w:lang w:val="en-US"/>
        </w:rPr>
        <w:t xml:space="preserve">na et al. (2014), </w:t>
      </w:r>
      <w:r w:rsidR="00862E92" w:rsidRPr="00CB216A">
        <w:rPr>
          <w:rFonts w:ascii="Times New Roman" w:hAnsi="Times New Roman" w:cs="Times New Roman"/>
          <w:color w:val="000000" w:themeColor="text1"/>
          <w:sz w:val="24"/>
          <w:szCs w:val="24"/>
          <w:lang w:val="en-US"/>
        </w:rPr>
        <w:t xml:space="preserve">and </w:t>
      </w:r>
      <w:r w:rsidRPr="00CB216A">
        <w:rPr>
          <w:rFonts w:ascii="Times New Roman" w:hAnsi="Times New Roman" w:cs="Times New Roman"/>
          <w:color w:val="000000" w:themeColor="text1"/>
          <w:sz w:val="24"/>
          <w:szCs w:val="24"/>
          <w:lang w:val="en-US"/>
        </w:rPr>
        <w:t xml:space="preserve">Gunawan and Hardyani (2014) </w:t>
      </w:r>
      <w:r w:rsidR="00862E92" w:rsidRPr="00CB216A">
        <w:rPr>
          <w:rFonts w:ascii="Times New Roman" w:hAnsi="Times New Roman" w:cs="Times New Roman"/>
          <w:color w:val="000000" w:themeColor="text1"/>
          <w:sz w:val="24"/>
          <w:szCs w:val="24"/>
          <w:lang w:val="en-US"/>
        </w:rPr>
        <w:t xml:space="preserve">who found an insignificant effect of </w:t>
      </w:r>
      <w:r w:rsidRPr="00CB216A">
        <w:rPr>
          <w:rFonts w:ascii="Times New Roman" w:hAnsi="Times New Roman" w:cs="Times New Roman"/>
          <w:color w:val="000000" w:themeColor="text1"/>
          <w:sz w:val="24"/>
          <w:szCs w:val="24"/>
          <w:lang w:val="en-US"/>
        </w:rPr>
        <w:t xml:space="preserve">profitability on stock returns. </w:t>
      </w:r>
      <w:r w:rsidR="00862E92" w:rsidRPr="00CB216A">
        <w:rPr>
          <w:rFonts w:ascii="Times New Roman" w:hAnsi="Times New Roman" w:cs="Times New Roman"/>
          <w:color w:val="000000" w:themeColor="text1"/>
          <w:sz w:val="24"/>
          <w:szCs w:val="24"/>
          <w:lang w:val="en-US"/>
        </w:rPr>
        <w:t xml:space="preserve">In their studies, </w:t>
      </w:r>
      <w:r w:rsidRPr="00CB216A">
        <w:rPr>
          <w:rFonts w:ascii="Times New Roman" w:hAnsi="Times New Roman" w:cs="Times New Roman"/>
          <w:color w:val="000000" w:themeColor="text1"/>
          <w:sz w:val="24"/>
          <w:szCs w:val="24"/>
          <w:lang w:val="en-US"/>
        </w:rPr>
        <w:t>Mayfi and Rudianto (2014), Raningsih and Putra (2015), Parwati and Sudiartha (2016), Anwaar (2016), and Nandani and Sur</w:t>
      </w:r>
      <w:r w:rsidRPr="00CB216A">
        <w:rPr>
          <w:rFonts w:ascii="Times New Roman" w:hAnsi="Times New Roman" w:cs="Times New Roman"/>
          <w:color w:val="000000" w:themeColor="text1"/>
          <w:sz w:val="24"/>
          <w:szCs w:val="24"/>
          <w:lang w:val="en-US"/>
        </w:rPr>
        <w:t xml:space="preserve">djani (2017) </w:t>
      </w:r>
      <w:r w:rsidR="00862E92" w:rsidRPr="00CB216A">
        <w:rPr>
          <w:rFonts w:ascii="Times New Roman" w:hAnsi="Times New Roman" w:cs="Times New Roman"/>
          <w:color w:val="000000" w:themeColor="text1"/>
          <w:sz w:val="24"/>
          <w:szCs w:val="24"/>
          <w:lang w:val="en-US"/>
        </w:rPr>
        <w:t xml:space="preserve">found a significant effect of </w:t>
      </w:r>
      <w:r w:rsidRPr="00CB216A">
        <w:rPr>
          <w:rFonts w:ascii="Times New Roman" w:hAnsi="Times New Roman" w:cs="Times New Roman"/>
          <w:color w:val="000000" w:themeColor="text1"/>
          <w:sz w:val="24"/>
          <w:szCs w:val="24"/>
          <w:lang w:val="en-US"/>
        </w:rPr>
        <w:t xml:space="preserve">liquidity </w:t>
      </w:r>
      <w:r w:rsidR="00862E92" w:rsidRPr="00CB216A">
        <w:rPr>
          <w:rFonts w:ascii="Times New Roman" w:hAnsi="Times New Roman" w:cs="Times New Roman"/>
          <w:color w:val="000000" w:themeColor="text1"/>
          <w:sz w:val="24"/>
          <w:szCs w:val="24"/>
          <w:lang w:val="en-US"/>
        </w:rPr>
        <w:t xml:space="preserve">on </w:t>
      </w:r>
      <w:r w:rsidRPr="00CB216A">
        <w:rPr>
          <w:rFonts w:ascii="Times New Roman" w:hAnsi="Times New Roman" w:cs="Times New Roman"/>
          <w:color w:val="000000" w:themeColor="text1"/>
          <w:sz w:val="24"/>
          <w:szCs w:val="24"/>
          <w:lang w:val="en-US"/>
        </w:rPr>
        <w:t>stock returns</w:t>
      </w:r>
      <w:r w:rsidR="00862E92" w:rsidRPr="00CB216A">
        <w:rPr>
          <w:rFonts w:ascii="Times New Roman" w:hAnsi="Times New Roman" w:cs="Times New Roman"/>
          <w:color w:val="000000" w:themeColor="text1"/>
          <w:sz w:val="24"/>
          <w:szCs w:val="24"/>
          <w:lang w:val="en-US"/>
        </w:rPr>
        <w:t xml:space="preserve">, while </w:t>
      </w:r>
      <w:r w:rsidRPr="00CB216A">
        <w:rPr>
          <w:rFonts w:ascii="Times New Roman" w:hAnsi="Times New Roman" w:cs="Times New Roman"/>
          <w:color w:val="000000" w:themeColor="text1"/>
          <w:sz w:val="24"/>
          <w:szCs w:val="24"/>
          <w:lang w:val="en-US"/>
        </w:rPr>
        <w:t xml:space="preserve">Haanurat (2013), Gunawan and Hardyani (2014), Anggrahini and Priyadi (2016), and Fitriana et al. (2016) </w:t>
      </w:r>
      <w:r w:rsidR="00862E92" w:rsidRPr="00CB216A">
        <w:rPr>
          <w:rFonts w:ascii="Times New Roman" w:hAnsi="Times New Roman" w:cs="Times New Roman"/>
          <w:color w:val="000000" w:themeColor="text1"/>
          <w:sz w:val="24"/>
          <w:szCs w:val="24"/>
          <w:lang w:val="en-US"/>
        </w:rPr>
        <w:t xml:space="preserve">documented </w:t>
      </w:r>
      <w:r w:rsidR="00D614D4" w:rsidRPr="00CB216A">
        <w:rPr>
          <w:rFonts w:ascii="Times New Roman" w:hAnsi="Times New Roman" w:cs="Times New Roman"/>
          <w:color w:val="000000" w:themeColor="text1"/>
          <w:sz w:val="24"/>
          <w:szCs w:val="24"/>
          <w:lang w:val="en-US"/>
        </w:rPr>
        <w:t xml:space="preserve">insignificant effect of </w:t>
      </w:r>
      <w:r w:rsidRPr="00CB216A">
        <w:rPr>
          <w:rFonts w:ascii="Times New Roman" w:hAnsi="Times New Roman" w:cs="Times New Roman"/>
          <w:color w:val="000000" w:themeColor="text1"/>
          <w:sz w:val="24"/>
          <w:szCs w:val="24"/>
          <w:lang w:val="en-US"/>
        </w:rPr>
        <w:t>liquidity on stock returns.</w:t>
      </w:r>
    </w:p>
    <w:p w:rsidR="00D614D4"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Furthermore,</w:t>
      </w:r>
      <w:r w:rsidRPr="00CB216A">
        <w:rPr>
          <w:rFonts w:ascii="Times New Roman" w:hAnsi="Times New Roman" w:cs="Times New Roman"/>
          <w:color w:val="000000" w:themeColor="text1"/>
          <w:sz w:val="24"/>
          <w:szCs w:val="24"/>
          <w:lang w:val="en-US"/>
        </w:rPr>
        <w:t xml:space="preserve"> Widayanti and Haryanto (2013), Putra and Dana (2016), and Fitriana et al. (2016) found a significant influence of solvency on stock returns. This empirical evidence contradicts the finding of the insignificant effect of solvency on stock returns (Erari, 2</w:t>
      </w:r>
      <w:r w:rsidRPr="00CB216A">
        <w:rPr>
          <w:rFonts w:ascii="Times New Roman" w:hAnsi="Times New Roman" w:cs="Times New Roman"/>
          <w:color w:val="000000" w:themeColor="text1"/>
          <w:sz w:val="24"/>
          <w:szCs w:val="24"/>
          <w:lang w:val="en-US"/>
        </w:rPr>
        <w:t>014; Rufaida and Hermanto, 2015; Bisara and Amanah, 2015; and Hawu and Amanah, 2016). Additionally, some previous studies documented positive significant effect of the size of the company on stock returns (Sugiarto, 2011; Yuliantari and Sujana, 2014; and P</w:t>
      </w:r>
      <w:r w:rsidRPr="00CB216A">
        <w:rPr>
          <w:rFonts w:ascii="Times New Roman" w:hAnsi="Times New Roman" w:cs="Times New Roman"/>
          <w:color w:val="000000" w:themeColor="text1"/>
          <w:sz w:val="24"/>
          <w:szCs w:val="24"/>
          <w:lang w:val="en-US"/>
        </w:rPr>
        <w:t>utra and Dana, 2016), while some other studies found insignificant effect of company size on stock returns (Rosiana et al., 2014; and Raningsih and Putra, 2015).</w:t>
      </w:r>
    </w:p>
    <w:p w:rsidR="003F25C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The</w:t>
      </w:r>
      <w:r w:rsidR="00C359E1" w:rsidRPr="00CB216A">
        <w:rPr>
          <w:rFonts w:ascii="Times New Roman" w:hAnsi="Times New Roman" w:cs="Times New Roman"/>
          <w:color w:val="000000" w:themeColor="text1"/>
          <w:sz w:val="24"/>
          <w:szCs w:val="24"/>
          <w:lang w:val="en-US"/>
        </w:rPr>
        <w:t xml:space="preserve">se </w:t>
      </w:r>
      <w:r w:rsidRPr="00CB216A">
        <w:rPr>
          <w:rFonts w:ascii="Times New Roman" w:hAnsi="Times New Roman" w:cs="Times New Roman"/>
          <w:color w:val="000000" w:themeColor="text1"/>
          <w:sz w:val="24"/>
          <w:szCs w:val="24"/>
          <w:lang w:val="en-US"/>
        </w:rPr>
        <w:t>mixed empirical evidences</w:t>
      </w:r>
      <w:r w:rsidR="00C359E1" w:rsidRPr="00CB216A">
        <w:rPr>
          <w:rFonts w:ascii="Times New Roman" w:hAnsi="Times New Roman" w:cs="Times New Roman"/>
          <w:color w:val="000000" w:themeColor="text1"/>
          <w:sz w:val="24"/>
          <w:szCs w:val="24"/>
          <w:lang w:val="en-US"/>
        </w:rPr>
        <w:t>, some found positive, negative, and insignificant effects of factors affecting stock returns,</w:t>
      </w:r>
      <w:r w:rsidRPr="00CB216A">
        <w:rPr>
          <w:rFonts w:ascii="Times New Roman" w:hAnsi="Times New Roman" w:cs="Times New Roman"/>
          <w:color w:val="000000" w:themeColor="text1"/>
          <w:sz w:val="24"/>
          <w:szCs w:val="24"/>
          <w:lang w:val="en-US"/>
        </w:rPr>
        <w:t xml:space="preserve"> has motivated the present study to re-examine the effects of profitability, liquidity, solvency, and company size on the Indonesian Islamic stock returns. </w:t>
      </w:r>
      <w:r w:rsidR="00C359E1" w:rsidRPr="00CB216A">
        <w:rPr>
          <w:rFonts w:ascii="Times New Roman" w:hAnsi="Times New Roman" w:cs="Times New Roman"/>
          <w:color w:val="000000" w:themeColor="text1"/>
          <w:sz w:val="24"/>
          <w:szCs w:val="24"/>
          <w:lang w:val="en-US"/>
        </w:rPr>
        <w:t xml:space="preserve">Most of the previous studies focused their analyses only </w:t>
      </w:r>
      <w:r w:rsidR="007914C1" w:rsidRPr="00CB216A">
        <w:rPr>
          <w:rFonts w:ascii="Times New Roman" w:hAnsi="Times New Roman" w:cs="Times New Roman"/>
          <w:color w:val="000000" w:themeColor="text1"/>
          <w:sz w:val="24"/>
          <w:szCs w:val="24"/>
          <w:lang w:val="en-US"/>
        </w:rPr>
        <w:t>on the overall Islamic stock market using aggregate data, while none of them has explored all 30 Islamic stocks using panel multiple regression analysis using the latest data.</w:t>
      </w:r>
      <w:r w:rsidR="00C359E1"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 xml:space="preserve">Additionally, </w:t>
      </w:r>
      <w:r w:rsidR="00C359E1" w:rsidRPr="00CB216A">
        <w:rPr>
          <w:rFonts w:ascii="Times New Roman" w:hAnsi="Times New Roman" w:cs="Times New Roman"/>
          <w:color w:val="000000" w:themeColor="text1"/>
          <w:sz w:val="24"/>
          <w:szCs w:val="24"/>
          <w:lang w:val="en-US"/>
        </w:rPr>
        <w:t xml:space="preserve">considering the vast growth of Islamic stocks worldwide, and particularly in Indonesia, </w:t>
      </w:r>
      <w:r w:rsidRPr="00CB216A">
        <w:rPr>
          <w:rFonts w:ascii="Times New Roman" w:hAnsi="Times New Roman" w:cs="Times New Roman"/>
          <w:color w:val="000000" w:themeColor="text1"/>
          <w:sz w:val="24"/>
          <w:szCs w:val="24"/>
          <w:lang w:val="en-US"/>
        </w:rPr>
        <w:t xml:space="preserve">previous studies on Islamic stocks in Indonesia focusing on these variables has been still relatively </w:t>
      </w:r>
      <w:r w:rsidR="00C359E1" w:rsidRPr="00CB216A">
        <w:rPr>
          <w:rFonts w:ascii="Times New Roman" w:hAnsi="Times New Roman" w:cs="Times New Roman"/>
          <w:color w:val="000000" w:themeColor="text1"/>
          <w:sz w:val="24"/>
          <w:szCs w:val="24"/>
          <w:lang w:val="en-US"/>
        </w:rPr>
        <w:t>scarce</w:t>
      </w:r>
      <w:r w:rsidR="007914C1" w:rsidRPr="00CB216A">
        <w:rPr>
          <w:rFonts w:ascii="Times New Roman" w:hAnsi="Times New Roman" w:cs="Times New Roman"/>
          <w:color w:val="000000" w:themeColor="text1"/>
          <w:sz w:val="24"/>
          <w:szCs w:val="24"/>
          <w:lang w:val="en-US"/>
        </w:rPr>
        <w:t xml:space="preserve">. Therefore, </w:t>
      </w:r>
      <w:r w:rsidRPr="00CB216A">
        <w:rPr>
          <w:rFonts w:ascii="Times New Roman" w:hAnsi="Times New Roman" w:cs="Times New Roman"/>
          <w:color w:val="000000" w:themeColor="text1"/>
          <w:sz w:val="24"/>
          <w:szCs w:val="24"/>
          <w:lang w:val="en-US"/>
        </w:rPr>
        <w:t xml:space="preserve">it is </w:t>
      </w:r>
      <w:r w:rsidRPr="00CB216A">
        <w:rPr>
          <w:rFonts w:ascii="Times New Roman" w:hAnsi="Times New Roman" w:cs="Times New Roman"/>
          <w:color w:val="000000" w:themeColor="text1"/>
          <w:sz w:val="24"/>
          <w:szCs w:val="24"/>
          <w:lang w:val="en-US"/>
        </w:rPr>
        <w:lastRenderedPageBreak/>
        <w:t>necessary to</w:t>
      </w:r>
      <w:r w:rsidR="007914C1" w:rsidRPr="00CB216A">
        <w:rPr>
          <w:rFonts w:ascii="Times New Roman" w:hAnsi="Times New Roman" w:cs="Times New Roman"/>
          <w:color w:val="000000" w:themeColor="text1"/>
          <w:sz w:val="24"/>
          <w:szCs w:val="24"/>
          <w:lang w:val="en-US"/>
        </w:rPr>
        <w:t xml:space="preserve"> fill up these existing gaps by</w:t>
      </w:r>
      <w:r w:rsidRPr="00CB216A">
        <w:rPr>
          <w:rFonts w:ascii="Times New Roman" w:hAnsi="Times New Roman" w:cs="Times New Roman"/>
          <w:color w:val="000000" w:themeColor="text1"/>
          <w:sz w:val="24"/>
          <w:szCs w:val="24"/>
          <w:lang w:val="en-US"/>
        </w:rPr>
        <w:t xml:space="preserve"> re-</w:t>
      </w:r>
      <w:r w:rsidR="00C359E1" w:rsidRPr="00CB216A">
        <w:rPr>
          <w:rFonts w:ascii="Times New Roman" w:hAnsi="Times New Roman" w:cs="Times New Roman"/>
          <w:color w:val="000000" w:themeColor="text1"/>
          <w:sz w:val="24"/>
          <w:szCs w:val="24"/>
          <w:lang w:val="en-US"/>
        </w:rPr>
        <w:t>examin</w:t>
      </w:r>
      <w:r w:rsidR="007914C1" w:rsidRPr="00CB216A">
        <w:rPr>
          <w:rFonts w:ascii="Times New Roman" w:hAnsi="Times New Roman" w:cs="Times New Roman"/>
          <w:color w:val="000000" w:themeColor="text1"/>
          <w:sz w:val="24"/>
          <w:szCs w:val="24"/>
          <w:lang w:val="en-US"/>
        </w:rPr>
        <w:t xml:space="preserve">ing </w:t>
      </w:r>
      <w:r w:rsidRPr="00CB216A">
        <w:rPr>
          <w:rFonts w:ascii="Times New Roman" w:hAnsi="Times New Roman" w:cs="Times New Roman"/>
          <w:color w:val="000000" w:themeColor="text1"/>
          <w:sz w:val="24"/>
          <w:szCs w:val="24"/>
          <w:lang w:val="en-US"/>
        </w:rPr>
        <w:t xml:space="preserve">the effect of </w:t>
      </w:r>
      <w:r w:rsidR="007914C1" w:rsidRPr="00CB216A">
        <w:rPr>
          <w:rFonts w:ascii="Times New Roman" w:hAnsi="Times New Roman" w:cs="Times New Roman"/>
          <w:color w:val="000000" w:themeColor="text1"/>
          <w:sz w:val="24"/>
          <w:szCs w:val="24"/>
          <w:lang w:val="en-US"/>
        </w:rPr>
        <w:t xml:space="preserve">firms’ characteristics </w:t>
      </w:r>
      <w:r w:rsidRPr="00CB216A">
        <w:rPr>
          <w:rFonts w:ascii="Times New Roman" w:hAnsi="Times New Roman" w:cs="Times New Roman"/>
          <w:color w:val="000000" w:themeColor="text1"/>
          <w:sz w:val="24"/>
          <w:szCs w:val="24"/>
          <w:lang w:val="en-US"/>
        </w:rPr>
        <w:t>on Islamic stocks in Ind</w:t>
      </w:r>
      <w:r w:rsidRPr="00CB216A">
        <w:rPr>
          <w:rFonts w:ascii="Times New Roman" w:hAnsi="Times New Roman" w:cs="Times New Roman"/>
          <w:color w:val="000000" w:themeColor="text1"/>
          <w:sz w:val="24"/>
          <w:szCs w:val="24"/>
          <w:lang w:val="en-US"/>
        </w:rPr>
        <w:t xml:space="preserve">onesia. </w:t>
      </w:r>
    </w:p>
    <w:p w:rsidR="000D6D82"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Th</w:t>
      </w:r>
      <w:r w:rsidR="00C359E1" w:rsidRPr="00CB216A">
        <w:rPr>
          <w:rFonts w:ascii="Times New Roman" w:hAnsi="Times New Roman" w:cs="Times New Roman"/>
          <w:color w:val="000000" w:themeColor="text1"/>
          <w:sz w:val="24"/>
          <w:szCs w:val="24"/>
          <w:lang w:val="en-US"/>
        </w:rPr>
        <w:t xml:space="preserve">us, this study specifically </w:t>
      </w:r>
      <w:r w:rsidRPr="00CB216A">
        <w:rPr>
          <w:rFonts w:ascii="Times New Roman" w:hAnsi="Times New Roman" w:cs="Times New Roman"/>
          <w:color w:val="000000" w:themeColor="text1"/>
          <w:sz w:val="24"/>
          <w:szCs w:val="24"/>
          <w:lang w:val="en-US"/>
        </w:rPr>
        <w:t xml:space="preserve">aims to </w:t>
      </w:r>
      <w:r w:rsidR="00C359E1" w:rsidRPr="00CB216A">
        <w:rPr>
          <w:rFonts w:ascii="Times New Roman" w:hAnsi="Times New Roman" w:cs="Times New Roman"/>
          <w:color w:val="000000" w:themeColor="text1"/>
          <w:sz w:val="24"/>
          <w:szCs w:val="24"/>
          <w:lang w:val="en-US"/>
        </w:rPr>
        <w:t xml:space="preserve">empirically examine and analyze </w:t>
      </w:r>
      <w:r w:rsidRPr="00CB216A">
        <w:rPr>
          <w:rFonts w:ascii="Times New Roman" w:hAnsi="Times New Roman" w:cs="Times New Roman"/>
          <w:color w:val="000000" w:themeColor="text1"/>
          <w:sz w:val="24"/>
          <w:szCs w:val="24"/>
          <w:lang w:val="en-US"/>
        </w:rPr>
        <w:t>the effect</w:t>
      </w:r>
      <w:r w:rsidR="00C359E1" w:rsidRPr="00CB216A">
        <w:rPr>
          <w:rFonts w:ascii="Times New Roman" w:hAnsi="Times New Roman" w:cs="Times New Roman"/>
          <w:color w:val="000000" w:themeColor="text1"/>
          <w:sz w:val="24"/>
          <w:szCs w:val="24"/>
          <w:lang w:val="en-US"/>
        </w:rPr>
        <w:t>s</w:t>
      </w:r>
      <w:r w:rsidRPr="00CB216A">
        <w:rPr>
          <w:rFonts w:ascii="Times New Roman" w:hAnsi="Times New Roman" w:cs="Times New Roman"/>
          <w:color w:val="000000" w:themeColor="text1"/>
          <w:sz w:val="24"/>
          <w:szCs w:val="24"/>
          <w:lang w:val="en-US"/>
        </w:rPr>
        <w:t xml:space="preserve"> of profitability, liquidity, solvency</w:t>
      </w:r>
      <w:r w:rsidR="00C359E1" w:rsidRPr="00CB216A">
        <w:rPr>
          <w:rFonts w:ascii="Times New Roman" w:hAnsi="Times New Roman" w:cs="Times New Roman"/>
          <w:color w:val="000000" w:themeColor="text1"/>
          <w:sz w:val="24"/>
          <w:szCs w:val="24"/>
          <w:lang w:val="en-US"/>
        </w:rPr>
        <w:t>,</w:t>
      </w:r>
      <w:r w:rsidRPr="00CB216A">
        <w:rPr>
          <w:rFonts w:ascii="Times New Roman" w:hAnsi="Times New Roman" w:cs="Times New Roman"/>
          <w:color w:val="000000" w:themeColor="text1"/>
          <w:sz w:val="24"/>
          <w:szCs w:val="24"/>
          <w:lang w:val="en-US"/>
        </w:rPr>
        <w:t xml:space="preserve"> and company size on </w:t>
      </w:r>
      <w:r w:rsidR="00C359E1" w:rsidRPr="00CB216A">
        <w:rPr>
          <w:rFonts w:ascii="Times New Roman" w:hAnsi="Times New Roman" w:cs="Times New Roman"/>
          <w:color w:val="000000" w:themeColor="text1"/>
          <w:sz w:val="24"/>
          <w:szCs w:val="24"/>
          <w:lang w:val="en-US"/>
        </w:rPr>
        <w:t xml:space="preserve">30 </w:t>
      </w:r>
      <w:r w:rsidRPr="00CB216A">
        <w:rPr>
          <w:rFonts w:ascii="Times New Roman" w:hAnsi="Times New Roman" w:cs="Times New Roman"/>
          <w:color w:val="000000" w:themeColor="text1"/>
          <w:sz w:val="24"/>
          <w:szCs w:val="24"/>
          <w:lang w:val="en-US"/>
        </w:rPr>
        <w:t>Islamic stock</w:t>
      </w:r>
      <w:r w:rsidR="00C359E1" w:rsidRPr="00CB216A">
        <w:rPr>
          <w:rFonts w:ascii="Times New Roman" w:hAnsi="Times New Roman" w:cs="Times New Roman"/>
          <w:color w:val="000000" w:themeColor="text1"/>
          <w:sz w:val="24"/>
          <w:szCs w:val="24"/>
          <w:lang w:val="en-US"/>
        </w:rPr>
        <w:t>s listed in the Jakarta Islamic Index in Indonesia over the period 2007-2017 using the panel Generalized Least Square method</w:t>
      </w:r>
      <w:r w:rsidRPr="00CB216A">
        <w:rPr>
          <w:rFonts w:ascii="Times New Roman" w:hAnsi="Times New Roman" w:cs="Times New Roman"/>
          <w:color w:val="000000" w:themeColor="text1"/>
          <w:sz w:val="24"/>
          <w:szCs w:val="24"/>
          <w:lang w:val="en-US"/>
        </w:rPr>
        <w:t xml:space="preserve">. </w:t>
      </w:r>
    </w:p>
    <w:p w:rsidR="00BD27F0"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The findings of </w:t>
      </w:r>
      <w:r w:rsidR="00D614D4" w:rsidRPr="00CB216A">
        <w:rPr>
          <w:rFonts w:ascii="Times New Roman" w:hAnsi="Times New Roman" w:cs="Times New Roman"/>
          <w:color w:val="000000" w:themeColor="text1"/>
          <w:sz w:val="24"/>
          <w:szCs w:val="24"/>
          <w:lang w:val="en-US"/>
        </w:rPr>
        <w:t xml:space="preserve">this study </w:t>
      </w:r>
      <w:r w:rsidRPr="00CB216A">
        <w:rPr>
          <w:rFonts w:ascii="Times New Roman" w:hAnsi="Times New Roman" w:cs="Times New Roman"/>
          <w:color w:val="000000" w:themeColor="text1"/>
          <w:sz w:val="24"/>
          <w:szCs w:val="24"/>
          <w:lang w:val="en-US"/>
        </w:rPr>
        <w:t xml:space="preserve">are expected to shed some light for investors and </w:t>
      </w:r>
      <w:r w:rsidR="00CB216A" w:rsidRPr="00CB216A">
        <w:rPr>
          <w:rFonts w:ascii="Times New Roman" w:hAnsi="Times New Roman" w:cs="Times New Roman"/>
          <w:color w:val="000000" w:themeColor="text1"/>
          <w:sz w:val="24"/>
          <w:szCs w:val="24"/>
          <w:lang w:val="en-US"/>
        </w:rPr>
        <w:t>investment</w:t>
      </w:r>
      <w:r w:rsidRPr="00CB216A">
        <w:rPr>
          <w:rFonts w:ascii="Times New Roman" w:hAnsi="Times New Roman" w:cs="Times New Roman"/>
          <w:color w:val="000000" w:themeColor="text1"/>
          <w:sz w:val="24"/>
          <w:szCs w:val="24"/>
          <w:lang w:val="en-US"/>
        </w:rPr>
        <w:t xml:space="preserve"> managers to properly select portfolio stocks to gain maximum benefits for investment diversification. The findings of the study are also important for companies offered Islamic stocks to manage their activities in producing maximum returns by properly man</w:t>
      </w:r>
      <w:r w:rsidRPr="00CB216A">
        <w:rPr>
          <w:rFonts w:ascii="Times New Roman" w:hAnsi="Times New Roman" w:cs="Times New Roman"/>
          <w:color w:val="000000" w:themeColor="text1"/>
          <w:sz w:val="24"/>
          <w:szCs w:val="24"/>
          <w:lang w:val="en-US"/>
        </w:rPr>
        <w:t>aging their characteristics and, in turn, attract more investors.</w:t>
      </w:r>
    </w:p>
    <w:p w:rsidR="003636A9"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The remainder of th</w:t>
      </w:r>
      <w:r w:rsidR="006C07B7" w:rsidRPr="00CB216A">
        <w:rPr>
          <w:rFonts w:ascii="Times New Roman" w:hAnsi="Times New Roman" w:cs="Times New Roman"/>
          <w:color w:val="000000" w:themeColor="text1"/>
          <w:sz w:val="24"/>
          <w:szCs w:val="24"/>
          <w:lang w:val="en-US"/>
        </w:rPr>
        <w:t xml:space="preserve">is study </w:t>
      </w:r>
      <w:r w:rsidRPr="00CB216A">
        <w:rPr>
          <w:rFonts w:ascii="Times New Roman" w:hAnsi="Times New Roman" w:cs="Times New Roman"/>
          <w:color w:val="000000" w:themeColor="text1"/>
          <w:sz w:val="24"/>
          <w:szCs w:val="24"/>
          <w:lang w:val="en-US"/>
        </w:rPr>
        <w:t xml:space="preserve">is organized as follows: </w:t>
      </w:r>
      <w:r w:rsidR="006C07B7" w:rsidRPr="00CB216A">
        <w:rPr>
          <w:rFonts w:ascii="Times New Roman" w:hAnsi="Times New Roman" w:cs="Times New Roman"/>
          <w:color w:val="000000" w:themeColor="text1"/>
          <w:sz w:val="24"/>
          <w:szCs w:val="24"/>
          <w:lang w:val="en-US"/>
        </w:rPr>
        <w:t xml:space="preserve">Section 2 </w:t>
      </w:r>
      <w:r w:rsidRPr="00CB216A">
        <w:rPr>
          <w:rFonts w:ascii="Times New Roman" w:hAnsi="Times New Roman" w:cs="Times New Roman"/>
          <w:color w:val="000000" w:themeColor="text1"/>
          <w:sz w:val="24"/>
          <w:szCs w:val="24"/>
          <w:lang w:val="en-US"/>
        </w:rPr>
        <w:t>review</w:t>
      </w:r>
      <w:r w:rsidR="006C07B7" w:rsidRPr="00CB216A">
        <w:rPr>
          <w:rFonts w:ascii="Times New Roman" w:hAnsi="Times New Roman" w:cs="Times New Roman"/>
          <w:color w:val="000000" w:themeColor="text1"/>
          <w:sz w:val="24"/>
          <w:szCs w:val="24"/>
          <w:lang w:val="en-US"/>
        </w:rPr>
        <w:t xml:space="preserve">s selected relevant </w:t>
      </w:r>
      <w:r w:rsidRPr="00CB216A">
        <w:rPr>
          <w:rFonts w:ascii="Times New Roman" w:hAnsi="Times New Roman" w:cs="Times New Roman"/>
          <w:color w:val="000000" w:themeColor="text1"/>
          <w:sz w:val="24"/>
          <w:szCs w:val="24"/>
          <w:lang w:val="en-US"/>
        </w:rPr>
        <w:t>theor</w:t>
      </w:r>
      <w:r w:rsidR="006C07B7" w:rsidRPr="00CB216A">
        <w:rPr>
          <w:rFonts w:ascii="Times New Roman" w:hAnsi="Times New Roman" w:cs="Times New Roman"/>
          <w:color w:val="000000" w:themeColor="text1"/>
          <w:sz w:val="24"/>
          <w:szCs w:val="24"/>
          <w:lang w:val="en-US"/>
        </w:rPr>
        <w:t xml:space="preserve">ies and works of literature on the determinants of stock returns. Section 3, in turn, highlights </w:t>
      </w:r>
      <w:r w:rsidRPr="00CB216A">
        <w:rPr>
          <w:rFonts w:ascii="Times New Roman" w:hAnsi="Times New Roman" w:cs="Times New Roman"/>
          <w:color w:val="000000" w:themeColor="text1"/>
          <w:sz w:val="24"/>
          <w:szCs w:val="24"/>
          <w:lang w:val="en-US"/>
        </w:rPr>
        <w:t xml:space="preserve">data and research methods, </w:t>
      </w:r>
      <w:r w:rsidR="006C07B7" w:rsidRPr="00CB216A">
        <w:rPr>
          <w:rFonts w:ascii="Times New Roman" w:hAnsi="Times New Roman" w:cs="Times New Roman"/>
          <w:color w:val="000000" w:themeColor="text1"/>
          <w:sz w:val="24"/>
          <w:szCs w:val="24"/>
          <w:lang w:val="en-US"/>
        </w:rPr>
        <w:t xml:space="preserve">followed by </w:t>
      </w:r>
      <w:r w:rsidRPr="00CB216A">
        <w:rPr>
          <w:rFonts w:ascii="Times New Roman" w:hAnsi="Times New Roman" w:cs="Times New Roman"/>
          <w:color w:val="000000" w:themeColor="text1"/>
          <w:sz w:val="24"/>
          <w:szCs w:val="24"/>
          <w:lang w:val="en-US"/>
        </w:rPr>
        <w:t>the present</w:t>
      </w:r>
      <w:r w:rsidR="006C07B7" w:rsidRPr="00CB216A">
        <w:rPr>
          <w:rFonts w:ascii="Times New Roman" w:hAnsi="Times New Roman" w:cs="Times New Roman"/>
          <w:color w:val="000000" w:themeColor="text1"/>
          <w:sz w:val="24"/>
          <w:szCs w:val="24"/>
          <w:lang w:val="en-US"/>
        </w:rPr>
        <w:t xml:space="preserve">ation of empirical evidences and their </w:t>
      </w:r>
      <w:r w:rsidRPr="00CB216A">
        <w:rPr>
          <w:rFonts w:ascii="Times New Roman" w:hAnsi="Times New Roman" w:cs="Times New Roman"/>
          <w:color w:val="000000" w:themeColor="text1"/>
          <w:sz w:val="24"/>
          <w:szCs w:val="24"/>
          <w:lang w:val="en-US"/>
        </w:rPr>
        <w:t>discussion</w:t>
      </w:r>
      <w:r w:rsidR="006C07B7" w:rsidRPr="00CB216A">
        <w:rPr>
          <w:rFonts w:ascii="Times New Roman" w:hAnsi="Times New Roman" w:cs="Times New Roman"/>
          <w:color w:val="000000" w:themeColor="text1"/>
          <w:sz w:val="24"/>
          <w:szCs w:val="24"/>
          <w:lang w:val="en-US"/>
        </w:rPr>
        <w:t>s. F</w:t>
      </w:r>
      <w:r w:rsidRPr="00CB216A">
        <w:rPr>
          <w:rFonts w:ascii="Times New Roman" w:hAnsi="Times New Roman" w:cs="Times New Roman"/>
          <w:color w:val="000000" w:themeColor="text1"/>
          <w:sz w:val="24"/>
          <w:szCs w:val="24"/>
          <w:lang w:val="en-US"/>
        </w:rPr>
        <w:t>inally</w:t>
      </w:r>
      <w:r w:rsidR="006C07B7" w:rsidRPr="00CB216A">
        <w:rPr>
          <w:rFonts w:ascii="Times New Roman" w:hAnsi="Times New Roman" w:cs="Times New Roman"/>
          <w:color w:val="000000" w:themeColor="text1"/>
          <w:sz w:val="24"/>
          <w:szCs w:val="24"/>
          <w:lang w:val="en-US"/>
        </w:rPr>
        <w:t xml:space="preserve">, Section 5 provides </w:t>
      </w:r>
      <w:r w:rsidRPr="00CB216A">
        <w:rPr>
          <w:rFonts w:ascii="Times New Roman" w:hAnsi="Times New Roman" w:cs="Times New Roman"/>
          <w:color w:val="000000" w:themeColor="text1"/>
          <w:sz w:val="24"/>
          <w:szCs w:val="24"/>
          <w:lang w:val="en-US"/>
        </w:rPr>
        <w:t>conclusions and suggestions for further research</w:t>
      </w:r>
      <w:r w:rsidR="006C07B7" w:rsidRPr="00CB216A">
        <w:rPr>
          <w:rFonts w:ascii="Times New Roman" w:hAnsi="Times New Roman" w:cs="Times New Roman"/>
          <w:color w:val="000000" w:themeColor="text1"/>
          <w:sz w:val="24"/>
          <w:szCs w:val="24"/>
          <w:lang w:val="en-US"/>
        </w:rPr>
        <w:t>es</w:t>
      </w:r>
      <w:r w:rsidRPr="00CB216A">
        <w:rPr>
          <w:rFonts w:ascii="Times New Roman" w:hAnsi="Times New Roman" w:cs="Times New Roman"/>
          <w:color w:val="000000" w:themeColor="text1"/>
          <w:sz w:val="24"/>
          <w:szCs w:val="24"/>
          <w:lang w:val="en-US"/>
        </w:rPr>
        <w:t>.</w:t>
      </w:r>
    </w:p>
    <w:p w:rsidR="003636A9"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LITERATURE REVIEW</w:t>
      </w:r>
    </w:p>
    <w:p w:rsidR="00876FF2"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000000"/>
          <w:sz w:val="24"/>
          <w:szCs w:val="24"/>
          <w:lang w:val="en-US" w:eastAsia="id-ID"/>
        </w:rPr>
      </w:pPr>
      <w:r w:rsidRPr="00CB216A">
        <w:rPr>
          <w:rFonts w:ascii="Times New Roman" w:eastAsia="Times New Roman" w:hAnsi="Times New Roman" w:cs="Times New Roman"/>
          <w:color w:val="000000"/>
          <w:sz w:val="24"/>
          <w:szCs w:val="24"/>
          <w:lang w:val="en-US" w:eastAsia="id-ID"/>
        </w:rPr>
        <w:t>A signaling theory that has gained momentum in last the</w:t>
      </w:r>
      <w:r w:rsidRPr="00CB216A">
        <w:rPr>
          <w:rFonts w:ascii="Times New Roman" w:eastAsia="Times New Roman" w:hAnsi="Times New Roman" w:cs="Times New Roman"/>
          <w:color w:val="000000"/>
          <w:sz w:val="24"/>
          <w:szCs w:val="24"/>
          <w:lang w:val="en-US" w:eastAsia="id-ID"/>
        </w:rPr>
        <w:t xml:space="preserve"> decade is useful for discribing the behavior of the two parties when they have access to diverse information. Typically, one company would select whether and how to communicate (or signal) that information and the investor must choose how to interpret the</w:t>
      </w:r>
      <w:r w:rsidRPr="00CB216A">
        <w:rPr>
          <w:rFonts w:ascii="Times New Roman" w:eastAsia="Times New Roman" w:hAnsi="Times New Roman" w:cs="Times New Roman"/>
          <w:color w:val="000000"/>
          <w:sz w:val="24"/>
          <w:szCs w:val="24"/>
          <w:lang w:val="en-US" w:eastAsia="id-ID"/>
        </w:rPr>
        <w:t xml:space="preserve"> signal (</w:t>
      </w:r>
      <w:r w:rsidRPr="00CB216A">
        <w:rPr>
          <w:rFonts w:ascii="Times New Roman" w:hAnsi="Times New Roman" w:cs="Times New Roman"/>
          <w:color w:val="222222"/>
          <w:sz w:val="24"/>
          <w:szCs w:val="24"/>
          <w:shd w:val="clear" w:color="auto" w:fill="FFFFFF"/>
          <w:lang w:val="en-US"/>
        </w:rPr>
        <w:t xml:space="preserve">Connelly et al., 2011). In other words, </w:t>
      </w:r>
      <w:r w:rsidRPr="00CB216A">
        <w:rPr>
          <w:rFonts w:ascii="Times New Roman" w:eastAsia="Times New Roman" w:hAnsi="Times New Roman" w:cs="Times New Roman"/>
          <w:color w:val="000000"/>
          <w:sz w:val="24"/>
          <w:szCs w:val="24"/>
          <w:lang w:val="en-US" w:eastAsia="id-ID"/>
        </w:rPr>
        <w:t xml:space="preserve">companies would provide signals to the market so that the market is expected to be able to distinguish between good companies and bad information (Suhadak et al., 2018). </w:t>
      </w:r>
    </w:p>
    <w:p w:rsidR="00C15756"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000000"/>
          <w:sz w:val="24"/>
          <w:szCs w:val="24"/>
          <w:lang w:val="en-US" w:eastAsia="id-ID"/>
        </w:rPr>
      </w:pPr>
      <w:r w:rsidRPr="00CB216A">
        <w:rPr>
          <w:rFonts w:ascii="Times New Roman" w:eastAsia="Times New Roman" w:hAnsi="Times New Roman" w:cs="Times New Roman"/>
          <w:color w:val="000000"/>
          <w:sz w:val="24"/>
          <w:szCs w:val="24"/>
          <w:lang w:val="en-US" w:eastAsia="id-ID"/>
        </w:rPr>
        <w:t>Signaling theory discusses what kind</w:t>
      </w:r>
      <w:r w:rsidRPr="00CB216A">
        <w:rPr>
          <w:rFonts w:ascii="Times New Roman" w:eastAsia="Times New Roman" w:hAnsi="Times New Roman" w:cs="Times New Roman"/>
          <w:color w:val="000000"/>
          <w:sz w:val="24"/>
          <w:szCs w:val="24"/>
          <w:lang w:val="en-US" w:eastAsia="id-ID"/>
        </w:rPr>
        <w:t xml:space="preserve"> of signals companies (managers) must</w:t>
      </w:r>
      <w:r w:rsidR="00876FF2" w:rsidRPr="00CB216A">
        <w:rPr>
          <w:rFonts w:ascii="Times New Roman" w:eastAsia="Times New Roman" w:hAnsi="Times New Roman" w:cs="Times New Roman"/>
          <w:color w:val="000000"/>
          <w:sz w:val="24"/>
          <w:szCs w:val="24"/>
          <w:lang w:val="en-US" w:eastAsia="id-ID"/>
        </w:rPr>
        <w:t xml:space="preserve"> provide </w:t>
      </w:r>
      <w:r w:rsidRPr="00CB216A">
        <w:rPr>
          <w:rFonts w:ascii="Times New Roman" w:eastAsia="Times New Roman" w:hAnsi="Times New Roman" w:cs="Times New Roman"/>
          <w:color w:val="000000"/>
          <w:sz w:val="24"/>
          <w:szCs w:val="24"/>
          <w:lang w:val="en-US" w:eastAsia="id-ID"/>
        </w:rPr>
        <w:t>to users of financial statements (</w:t>
      </w:r>
      <w:r w:rsidR="00876FF2" w:rsidRPr="00CB216A">
        <w:rPr>
          <w:rFonts w:ascii="Times New Roman" w:eastAsia="Times New Roman" w:hAnsi="Times New Roman" w:cs="Times New Roman"/>
          <w:color w:val="000000"/>
          <w:sz w:val="24"/>
          <w:szCs w:val="24"/>
          <w:lang w:val="en-US" w:eastAsia="id-ID"/>
        </w:rPr>
        <w:t xml:space="preserve">i.e., </w:t>
      </w:r>
      <w:r w:rsidRPr="00CB216A">
        <w:rPr>
          <w:rFonts w:ascii="Times New Roman" w:eastAsia="Times New Roman" w:hAnsi="Times New Roman" w:cs="Times New Roman"/>
          <w:color w:val="000000"/>
          <w:sz w:val="24"/>
          <w:szCs w:val="24"/>
          <w:lang w:val="en-US" w:eastAsia="id-ID"/>
        </w:rPr>
        <w:t>investors) (Suhadak et al</w:t>
      </w:r>
      <w:r w:rsidR="00876FF2" w:rsidRPr="00CB216A">
        <w:rPr>
          <w:rFonts w:ascii="Times New Roman" w:eastAsia="Times New Roman" w:hAnsi="Times New Roman" w:cs="Times New Roman"/>
          <w:color w:val="000000"/>
          <w:sz w:val="24"/>
          <w:szCs w:val="24"/>
          <w:lang w:val="en-US" w:eastAsia="id-ID"/>
        </w:rPr>
        <w:t>.</w:t>
      </w:r>
      <w:r w:rsidRPr="00CB216A">
        <w:rPr>
          <w:rFonts w:ascii="Times New Roman" w:eastAsia="Times New Roman" w:hAnsi="Times New Roman" w:cs="Times New Roman"/>
          <w:color w:val="000000"/>
          <w:sz w:val="24"/>
          <w:szCs w:val="24"/>
          <w:lang w:val="en-US" w:eastAsia="id-ID"/>
        </w:rPr>
        <w:t>, 2018). This sign</w:t>
      </w:r>
      <w:r w:rsidR="00876FF2" w:rsidRPr="00CB216A">
        <w:rPr>
          <w:rFonts w:ascii="Times New Roman" w:eastAsia="Times New Roman" w:hAnsi="Times New Roman" w:cs="Times New Roman"/>
          <w:color w:val="000000"/>
          <w:sz w:val="24"/>
          <w:szCs w:val="24"/>
          <w:lang w:val="en-US" w:eastAsia="id-ID"/>
        </w:rPr>
        <w:t xml:space="preserve">al theory helps reduce asymmetric </w:t>
      </w:r>
      <w:r w:rsidRPr="00CB216A">
        <w:rPr>
          <w:rFonts w:ascii="Times New Roman" w:eastAsia="Times New Roman" w:hAnsi="Times New Roman" w:cs="Times New Roman"/>
          <w:color w:val="000000"/>
          <w:sz w:val="24"/>
          <w:szCs w:val="24"/>
          <w:lang w:val="en-US" w:eastAsia="id-ID"/>
        </w:rPr>
        <w:t>inf</w:t>
      </w:r>
      <w:r w:rsidR="00876FF2" w:rsidRPr="00CB216A">
        <w:rPr>
          <w:rFonts w:ascii="Times New Roman" w:eastAsia="Times New Roman" w:hAnsi="Times New Roman" w:cs="Times New Roman"/>
          <w:color w:val="000000"/>
          <w:sz w:val="24"/>
          <w:szCs w:val="24"/>
          <w:lang w:val="en-US" w:eastAsia="id-ID"/>
        </w:rPr>
        <w:t xml:space="preserve">ormation. </w:t>
      </w:r>
      <w:r w:rsidRPr="00CB216A">
        <w:rPr>
          <w:rFonts w:ascii="Times New Roman" w:eastAsia="Times New Roman" w:hAnsi="Times New Roman" w:cs="Times New Roman"/>
          <w:color w:val="000000"/>
          <w:sz w:val="24"/>
          <w:szCs w:val="24"/>
          <w:lang w:val="en-US" w:eastAsia="id-ID"/>
        </w:rPr>
        <w:t xml:space="preserve">Accurate information is very important for investors </w:t>
      </w:r>
      <w:r w:rsidR="00876FF2" w:rsidRPr="00CB216A">
        <w:rPr>
          <w:rFonts w:ascii="Times New Roman" w:eastAsia="Times New Roman" w:hAnsi="Times New Roman" w:cs="Times New Roman"/>
          <w:color w:val="000000"/>
          <w:sz w:val="24"/>
          <w:szCs w:val="24"/>
          <w:lang w:val="en-US" w:eastAsia="id-ID"/>
        </w:rPr>
        <w:t>using for</w:t>
      </w:r>
      <w:r w:rsidRPr="00CB216A">
        <w:rPr>
          <w:rFonts w:ascii="Times New Roman" w:eastAsia="Times New Roman" w:hAnsi="Times New Roman" w:cs="Times New Roman"/>
          <w:color w:val="000000"/>
          <w:sz w:val="24"/>
          <w:szCs w:val="24"/>
          <w:lang w:val="en-US" w:eastAsia="id-ID"/>
        </w:rPr>
        <w:t xml:space="preserve"> decision making </w:t>
      </w:r>
      <w:r w:rsidRPr="00CB216A">
        <w:rPr>
          <w:rFonts w:ascii="Times New Roman" w:eastAsia="Times New Roman" w:hAnsi="Times New Roman" w:cs="Times New Roman"/>
          <w:color w:val="000000"/>
          <w:sz w:val="24"/>
          <w:szCs w:val="24"/>
          <w:lang w:val="en-US" w:eastAsia="id-ID"/>
        </w:rPr>
        <w:t xml:space="preserve">(Taj, 2016). The annual report provided by the manager is a signal for investors </w:t>
      </w:r>
      <w:r w:rsidR="00876FF2" w:rsidRPr="00CB216A">
        <w:rPr>
          <w:rFonts w:ascii="Times New Roman" w:eastAsia="Times New Roman" w:hAnsi="Times New Roman" w:cs="Times New Roman"/>
          <w:color w:val="000000"/>
          <w:sz w:val="24"/>
          <w:szCs w:val="24"/>
          <w:lang w:val="en-US" w:eastAsia="id-ID"/>
        </w:rPr>
        <w:t xml:space="preserve">to be used as a reference </w:t>
      </w:r>
      <w:r w:rsidRPr="00CB216A">
        <w:rPr>
          <w:rFonts w:ascii="Times New Roman" w:eastAsia="Times New Roman" w:hAnsi="Times New Roman" w:cs="Times New Roman"/>
          <w:color w:val="000000"/>
          <w:sz w:val="24"/>
          <w:szCs w:val="24"/>
          <w:lang w:val="en-US" w:eastAsia="id-ID"/>
        </w:rPr>
        <w:t>in making investment decisions. Therefore, the company, in t</w:t>
      </w:r>
      <w:r w:rsidR="00876FF2" w:rsidRPr="00CB216A">
        <w:rPr>
          <w:rFonts w:ascii="Times New Roman" w:eastAsia="Times New Roman" w:hAnsi="Times New Roman" w:cs="Times New Roman"/>
          <w:color w:val="000000"/>
          <w:sz w:val="24"/>
          <w:szCs w:val="24"/>
          <w:lang w:val="en-US" w:eastAsia="id-ID"/>
        </w:rPr>
        <w:t>his case, the manager (signal provider</w:t>
      </w:r>
      <w:r w:rsidRPr="00CB216A">
        <w:rPr>
          <w:rFonts w:ascii="Times New Roman" w:eastAsia="Times New Roman" w:hAnsi="Times New Roman" w:cs="Times New Roman"/>
          <w:color w:val="000000"/>
          <w:sz w:val="24"/>
          <w:szCs w:val="24"/>
          <w:lang w:val="en-US" w:eastAsia="id-ID"/>
        </w:rPr>
        <w:t>) who is more aware of internal information and the</w:t>
      </w:r>
      <w:r w:rsidRPr="00CB216A">
        <w:rPr>
          <w:rFonts w:ascii="Times New Roman" w:eastAsia="Times New Roman" w:hAnsi="Times New Roman" w:cs="Times New Roman"/>
          <w:color w:val="000000"/>
          <w:sz w:val="24"/>
          <w:szCs w:val="24"/>
          <w:lang w:val="en-US" w:eastAsia="id-ID"/>
        </w:rPr>
        <w:t xml:space="preserve"> prospects of the company must produce more </w:t>
      </w:r>
      <w:r w:rsidRPr="00CB216A">
        <w:rPr>
          <w:rFonts w:ascii="Times New Roman" w:eastAsia="Times New Roman" w:hAnsi="Times New Roman" w:cs="Times New Roman"/>
          <w:color w:val="000000"/>
          <w:sz w:val="24"/>
          <w:szCs w:val="24"/>
          <w:lang w:val="en-US" w:eastAsia="id-ID"/>
        </w:rPr>
        <w:lastRenderedPageBreak/>
        <w:t>quality and accurate financial reports to investors (signal recipients) to reduce asymmetr</w:t>
      </w:r>
      <w:r w:rsidR="00876FF2" w:rsidRPr="00CB216A">
        <w:rPr>
          <w:rFonts w:ascii="Times New Roman" w:eastAsia="Times New Roman" w:hAnsi="Times New Roman" w:cs="Times New Roman"/>
          <w:color w:val="000000"/>
          <w:sz w:val="24"/>
          <w:szCs w:val="24"/>
          <w:lang w:val="en-US" w:eastAsia="id-ID"/>
        </w:rPr>
        <w:t>ic information</w:t>
      </w:r>
      <w:r w:rsidRPr="00CB216A">
        <w:rPr>
          <w:rFonts w:ascii="Times New Roman" w:eastAsia="Times New Roman" w:hAnsi="Times New Roman" w:cs="Times New Roman"/>
          <w:color w:val="000000"/>
          <w:sz w:val="24"/>
          <w:szCs w:val="24"/>
          <w:lang w:val="en-US" w:eastAsia="id-ID"/>
        </w:rPr>
        <w:t>.</w:t>
      </w:r>
      <w:r w:rsidR="00876FF2" w:rsidRPr="00CB216A">
        <w:rPr>
          <w:rFonts w:ascii="Times New Roman" w:eastAsia="Times New Roman" w:hAnsi="Times New Roman" w:cs="Times New Roman"/>
          <w:color w:val="000000"/>
          <w:sz w:val="24"/>
          <w:szCs w:val="24"/>
          <w:lang w:val="en-US" w:eastAsia="id-ID"/>
        </w:rPr>
        <w:t xml:space="preserve"> Thus, referring to the signals provided by companies could be used by the investors to predict stock returns. An ability to accurately predict the stock returns would provide investors </w:t>
      </w:r>
      <w:r w:rsidRPr="00CB216A">
        <w:rPr>
          <w:rFonts w:ascii="Times New Roman" w:eastAsia="Times New Roman" w:hAnsi="Times New Roman" w:cs="Times New Roman"/>
          <w:color w:val="000000"/>
          <w:sz w:val="24"/>
          <w:szCs w:val="24"/>
          <w:lang w:val="en-US" w:eastAsia="id-ID"/>
        </w:rPr>
        <w:t>maximum benefits of investment diversifications.</w:t>
      </w:r>
    </w:p>
    <w:p w:rsidR="00C1575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 xml:space="preserve">Stock </w:t>
      </w:r>
      <w:r w:rsidR="00606B03" w:rsidRPr="00CB216A">
        <w:rPr>
          <w:rFonts w:ascii="Times New Roman" w:hAnsi="Times New Roman" w:cs="Times New Roman"/>
          <w:b/>
          <w:color w:val="000000" w:themeColor="text1"/>
          <w:sz w:val="24"/>
          <w:szCs w:val="24"/>
          <w:lang w:val="en-US"/>
        </w:rPr>
        <w:t>Return</w:t>
      </w:r>
      <w:r w:rsidRPr="00CB216A">
        <w:rPr>
          <w:rFonts w:ascii="Times New Roman" w:hAnsi="Times New Roman" w:cs="Times New Roman"/>
          <w:b/>
          <w:color w:val="000000" w:themeColor="text1"/>
          <w:sz w:val="24"/>
          <w:szCs w:val="24"/>
          <w:lang w:val="en-US"/>
        </w:rPr>
        <w:t>s</w:t>
      </w:r>
    </w:p>
    <w:p w:rsidR="00C15756"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 xml:space="preserve">The main purpose of investors allocate their monies into the stock market is to gain maximum returns. Return is </w:t>
      </w:r>
      <w:r w:rsidRPr="00CB216A">
        <w:rPr>
          <w:rFonts w:ascii="Times New Roman" w:eastAsia="Times New Roman" w:hAnsi="Times New Roman" w:cs="Times New Roman"/>
          <w:color w:val="000000" w:themeColor="text1"/>
          <w:sz w:val="24"/>
          <w:szCs w:val="24"/>
          <w:lang w:val="en-US" w:eastAsia="id-ID"/>
        </w:rPr>
        <w:t>the profit gained from an investment in a certain period. Return is the profit gained by companies, individuals, and institutions as the results of their investments (Fahmi, 2011). The distribution of returns in investments in Islamic stocks is based on th</w:t>
      </w:r>
      <w:r w:rsidRPr="00CB216A">
        <w:rPr>
          <w:rFonts w:ascii="Times New Roman" w:eastAsia="Times New Roman" w:hAnsi="Times New Roman" w:cs="Times New Roman"/>
          <w:color w:val="000000" w:themeColor="text1"/>
          <w:sz w:val="24"/>
          <w:szCs w:val="24"/>
          <w:lang w:val="en-US" w:eastAsia="id-ID"/>
        </w:rPr>
        <w:t xml:space="preserve">e proportions specified in the mutually agreed contract. According to Huda and Nasution (2008), returns that can be gained from investing in Islamic stock include: (i). dividends; (ii) right to pre-order securities granted by the issuer; and (iii).capital </w:t>
      </w:r>
      <w:r w:rsidRPr="00CB216A">
        <w:rPr>
          <w:rFonts w:ascii="Times New Roman" w:eastAsia="Times New Roman" w:hAnsi="Times New Roman" w:cs="Times New Roman"/>
          <w:color w:val="000000" w:themeColor="text1"/>
          <w:sz w:val="24"/>
          <w:szCs w:val="24"/>
          <w:lang w:val="en-US" w:eastAsia="id-ID"/>
        </w:rPr>
        <w:t>gains which are the profits derived from the sale and purchase of Islamic stocks.</w:t>
      </w:r>
    </w:p>
    <w:p w:rsidR="00C15756"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b/>
          <w:color w:val="000000" w:themeColor="text1"/>
          <w:sz w:val="24"/>
          <w:szCs w:val="24"/>
          <w:lang w:val="en-US" w:eastAsia="id-ID"/>
        </w:rPr>
      </w:pPr>
      <w:r w:rsidRPr="00CB216A">
        <w:rPr>
          <w:rFonts w:ascii="Times New Roman" w:eastAsia="Times New Roman" w:hAnsi="Times New Roman" w:cs="Times New Roman"/>
          <w:b/>
          <w:color w:val="000000" w:themeColor="text1"/>
          <w:sz w:val="24"/>
          <w:szCs w:val="24"/>
          <w:lang w:val="en-US" w:eastAsia="id-ID"/>
        </w:rPr>
        <w:t>Profitability</w:t>
      </w:r>
    </w:p>
    <w:p w:rsidR="000E5B8E"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Profitability in a company shows a picture of the company's performance. A good company is a company that is able to maintain its performance (Syamni et al., 20</w:t>
      </w:r>
      <w:r w:rsidRPr="00CB216A">
        <w:rPr>
          <w:rFonts w:ascii="Times New Roman" w:eastAsia="Times New Roman" w:hAnsi="Times New Roman" w:cs="Times New Roman"/>
          <w:color w:val="000000" w:themeColor="text1"/>
          <w:sz w:val="24"/>
          <w:szCs w:val="24"/>
          <w:lang w:val="en-US" w:eastAsia="id-ID"/>
        </w:rPr>
        <w:t>18). According to Jumingan (2006), profitability is a ratio that measures the efficiency of a company's activities and its ability to produce profits. In addition to describing the company's ability to generate profits, profitability also shows a measure o</w:t>
      </w:r>
      <w:r w:rsidRPr="00CB216A">
        <w:rPr>
          <w:rFonts w:ascii="Times New Roman" w:eastAsia="Times New Roman" w:hAnsi="Times New Roman" w:cs="Times New Roman"/>
          <w:color w:val="000000" w:themeColor="text1"/>
          <w:sz w:val="24"/>
          <w:szCs w:val="24"/>
          <w:lang w:val="en-US" w:eastAsia="id-ID"/>
        </w:rPr>
        <w:t xml:space="preserve">f the effectiveness of a company's management in generating profits from sales and investment income (Kasmir, 2010). Thus, the better the profitability of the company, the better the company is in generating profits. </w:t>
      </w:r>
    </w:p>
    <w:p w:rsidR="000E5B8E"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b/>
          <w:color w:val="000000" w:themeColor="text1"/>
          <w:sz w:val="24"/>
          <w:szCs w:val="24"/>
          <w:lang w:val="en-US" w:eastAsia="id-ID"/>
        </w:rPr>
      </w:pPr>
      <w:r w:rsidRPr="00CB216A">
        <w:rPr>
          <w:rFonts w:ascii="Times New Roman" w:eastAsia="Times New Roman" w:hAnsi="Times New Roman" w:cs="Times New Roman"/>
          <w:b/>
          <w:color w:val="000000" w:themeColor="text1"/>
          <w:sz w:val="24"/>
          <w:szCs w:val="24"/>
          <w:lang w:val="en-US" w:eastAsia="id-ID"/>
        </w:rPr>
        <w:t xml:space="preserve">Liquidity </w:t>
      </w:r>
    </w:p>
    <w:p w:rsidR="000E5B8E"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Liquidity indicates the abi</w:t>
      </w:r>
      <w:r w:rsidRPr="00CB216A">
        <w:rPr>
          <w:rFonts w:ascii="Times New Roman" w:eastAsia="Times New Roman" w:hAnsi="Times New Roman" w:cs="Times New Roman"/>
          <w:color w:val="000000" w:themeColor="text1"/>
          <w:sz w:val="24"/>
          <w:szCs w:val="24"/>
          <w:lang w:val="en-US" w:eastAsia="id-ID"/>
        </w:rPr>
        <w:t>lity of a company to pay its short-term debt, which is generally less than one year. It is the company's ability to pay off short-term obligations (Katchova and Enlow, 2013). Liquidity is also used to analyze and interpret short-term finance, for liquidity</w:t>
      </w:r>
      <w:r w:rsidRPr="00CB216A">
        <w:rPr>
          <w:rFonts w:ascii="Times New Roman" w:eastAsia="Times New Roman" w:hAnsi="Times New Roman" w:cs="Times New Roman"/>
          <w:color w:val="000000" w:themeColor="text1"/>
          <w:sz w:val="24"/>
          <w:szCs w:val="24"/>
          <w:lang w:val="en-US" w:eastAsia="id-ID"/>
        </w:rPr>
        <w:t xml:space="preserve"> management, it is very helpful to measure the efficiency of working capital used in the company. For liquidity investors, it is also very important to know the prospect of expected dividend </w:t>
      </w:r>
      <w:r w:rsidRPr="00CB216A">
        <w:rPr>
          <w:rFonts w:ascii="Times New Roman" w:eastAsia="Times New Roman" w:hAnsi="Times New Roman" w:cs="Times New Roman"/>
          <w:color w:val="000000" w:themeColor="text1"/>
          <w:sz w:val="24"/>
          <w:szCs w:val="24"/>
          <w:lang w:val="en-US" w:eastAsia="id-ID"/>
        </w:rPr>
        <w:lastRenderedPageBreak/>
        <w:t>payments they would receive. The high level of liquidity shows th</w:t>
      </w:r>
      <w:r w:rsidRPr="00CB216A">
        <w:rPr>
          <w:rFonts w:ascii="Times New Roman" w:eastAsia="Times New Roman" w:hAnsi="Times New Roman" w:cs="Times New Roman"/>
          <w:color w:val="000000" w:themeColor="text1"/>
          <w:sz w:val="24"/>
          <w:szCs w:val="24"/>
          <w:lang w:val="en-US" w:eastAsia="id-ID"/>
        </w:rPr>
        <w:t>e higher ability of a company to pay off debt and other short-term bills.</w:t>
      </w:r>
    </w:p>
    <w:p w:rsidR="000E5B8E"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sz w:val="24"/>
          <w:szCs w:val="24"/>
          <w:lang w:val="en-US"/>
        </w:rPr>
      </w:pPr>
      <w:r w:rsidRPr="00CB216A">
        <w:rPr>
          <w:rFonts w:ascii="Times New Roman" w:hAnsi="Times New Roman" w:cs="Times New Roman"/>
          <w:b/>
          <w:sz w:val="24"/>
          <w:szCs w:val="24"/>
          <w:lang w:val="en-US"/>
        </w:rPr>
        <w:t>Solvency</w:t>
      </w:r>
    </w:p>
    <w:p w:rsidR="000E5B8E" w:rsidRPr="00CB216A" w:rsidRDefault="0046403F" w:rsidP="002513C1">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Solvency is a ratio that illustrates a company's ability to manage and pay off its long-term debt. Solvency is also used to measure the extent to which a company's assets </w:t>
      </w:r>
      <w:r w:rsidRPr="00CB216A">
        <w:rPr>
          <w:rFonts w:ascii="Times New Roman" w:hAnsi="Times New Roman" w:cs="Times New Roman"/>
          <w:sz w:val="24"/>
          <w:szCs w:val="24"/>
          <w:lang w:val="en-US"/>
        </w:rPr>
        <w:t>are financed with debt, meaning how much the company bears the burden of debt compared to its assets (Kasmir, 2010: 112). If a company has very high debt, the burden of debt is also large so that the company's ability to repay its obligations if associated</w:t>
      </w:r>
      <w:r w:rsidRPr="00CB216A">
        <w:rPr>
          <w:rFonts w:ascii="Times New Roman" w:hAnsi="Times New Roman" w:cs="Times New Roman"/>
          <w:sz w:val="24"/>
          <w:szCs w:val="24"/>
          <w:lang w:val="en-US"/>
        </w:rPr>
        <w:t xml:space="preserve"> with assets or company capital becomes difficult (Gumanti, 2011). Investors as funders would certainly pay attention to the level of debt adequacy of a company so that investors believe the funds invested can be returned by the company.</w:t>
      </w:r>
    </w:p>
    <w:p w:rsidR="000E5B8E"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sz w:val="24"/>
          <w:szCs w:val="24"/>
          <w:lang w:val="en-US"/>
        </w:rPr>
      </w:pPr>
      <w:r w:rsidRPr="00CB216A">
        <w:rPr>
          <w:rFonts w:ascii="Times New Roman" w:hAnsi="Times New Roman" w:cs="Times New Roman"/>
          <w:b/>
          <w:sz w:val="24"/>
          <w:szCs w:val="24"/>
          <w:lang w:val="en-US"/>
        </w:rPr>
        <w:t>Company Size</w:t>
      </w:r>
    </w:p>
    <w:p w:rsidR="004B4471" w:rsidRPr="00CB216A" w:rsidRDefault="0046403F" w:rsidP="002513C1">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The s</w:t>
      </w:r>
      <w:r w:rsidRPr="00CB216A">
        <w:rPr>
          <w:rFonts w:ascii="Times New Roman" w:hAnsi="Times New Roman" w:cs="Times New Roman"/>
          <w:sz w:val="24"/>
          <w:szCs w:val="24"/>
          <w:lang w:val="en-US"/>
        </w:rPr>
        <w:t>ize of the company is a reflection of the size of a company's activities that is related to opportunities and ability to enter the capital market and other types of external financing that show the ability to borrow from external sources (Yuliantari and Su</w:t>
      </w:r>
      <w:r w:rsidRPr="00CB216A">
        <w:rPr>
          <w:rFonts w:ascii="Times New Roman" w:hAnsi="Times New Roman" w:cs="Times New Roman"/>
          <w:sz w:val="24"/>
          <w:szCs w:val="24"/>
          <w:lang w:val="en-US"/>
        </w:rPr>
        <w:t xml:space="preserve">jana, 2014). Company reputation often increases in line with company size and success in acquiring other companies (Baker et al, 2013: 4). Large companies will attract investors to invest as they own a large number of assets so that this is a guarantee of </w:t>
      </w:r>
      <w:r w:rsidRPr="00CB216A">
        <w:rPr>
          <w:rFonts w:ascii="Times New Roman" w:hAnsi="Times New Roman" w:cs="Times New Roman"/>
          <w:sz w:val="24"/>
          <w:szCs w:val="24"/>
          <w:lang w:val="en-US"/>
        </w:rPr>
        <w:t>return on the funds that have been invested.</w:t>
      </w:r>
    </w:p>
    <w:p w:rsidR="004B4471"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sz w:val="24"/>
          <w:szCs w:val="24"/>
          <w:lang w:val="en-US"/>
        </w:rPr>
      </w:pPr>
      <w:r w:rsidRPr="00CB216A">
        <w:rPr>
          <w:rFonts w:ascii="Times New Roman" w:hAnsi="Times New Roman" w:cs="Times New Roman"/>
          <w:b/>
          <w:sz w:val="24"/>
          <w:szCs w:val="24"/>
          <w:lang w:val="en-US"/>
        </w:rPr>
        <w:t>Effect of Profitability on Stock Returns</w:t>
      </w:r>
    </w:p>
    <w:p w:rsidR="004B4471" w:rsidRPr="00CB216A" w:rsidRDefault="0046403F" w:rsidP="002513C1">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In </w:t>
      </w:r>
      <w:r w:rsidR="000E5B8E" w:rsidRPr="00CB216A">
        <w:rPr>
          <w:rFonts w:ascii="Times New Roman" w:hAnsi="Times New Roman" w:cs="Times New Roman"/>
          <w:sz w:val="24"/>
          <w:szCs w:val="24"/>
          <w:lang w:val="en-US"/>
        </w:rPr>
        <w:t xml:space="preserve">investing </w:t>
      </w:r>
      <w:r w:rsidRPr="00CB216A">
        <w:rPr>
          <w:rFonts w:ascii="Times New Roman" w:hAnsi="Times New Roman" w:cs="Times New Roman"/>
          <w:sz w:val="24"/>
          <w:szCs w:val="24"/>
          <w:lang w:val="en-US"/>
        </w:rPr>
        <w:t xml:space="preserve">their monies into stock markets, all investors </w:t>
      </w:r>
      <w:r w:rsidR="000E5B8E" w:rsidRPr="00CB216A">
        <w:rPr>
          <w:rFonts w:ascii="Times New Roman" w:hAnsi="Times New Roman" w:cs="Times New Roman"/>
          <w:sz w:val="24"/>
          <w:szCs w:val="24"/>
          <w:lang w:val="en-US"/>
        </w:rPr>
        <w:t xml:space="preserve">expect </w:t>
      </w:r>
      <w:r w:rsidRPr="00CB216A">
        <w:rPr>
          <w:rFonts w:ascii="Times New Roman" w:hAnsi="Times New Roman" w:cs="Times New Roman"/>
          <w:sz w:val="24"/>
          <w:szCs w:val="24"/>
          <w:lang w:val="en-US"/>
        </w:rPr>
        <w:t xml:space="preserve">to gain </w:t>
      </w:r>
      <w:r w:rsidR="000E5B8E" w:rsidRPr="00CB216A">
        <w:rPr>
          <w:rFonts w:ascii="Times New Roman" w:hAnsi="Times New Roman" w:cs="Times New Roman"/>
          <w:sz w:val="24"/>
          <w:szCs w:val="24"/>
          <w:lang w:val="en-US"/>
        </w:rPr>
        <w:t xml:space="preserve">a high </w:t>
      </w:r>
      <w:r w:rsidRPr="00CB216A">
        <w:rPr>
          <w:rFonts w:ascii="Times New Roman" w:hAnsi="Times New Roman" w:cs="Times New Roman"/>
          <w:sz w:val="24"/>
          <w:szCs w:val="24"/>
          <w:lang w:val="en-US"/>
        </w:rPr>
        <w:t>return;</w:t>
      </w:r>
      <w:r w:rsidR="000E5B8E" w:rsidRPr="00CB216A">
        <w:rPr>
          <w:rFonts w:ascii="Times New Roman" w:hAnsi="Times New Roman" w:cs="Times New Roman"/>
          <w:sz w:val="24"/>
          <w:szCs w:val="24"/>
          <w:lang w:val="en-US"/>
        </w:rPr>
        <w:t xml:space="preserve"> therefore the high profitability of a company will have a positive impact on investors' decisions to invest in the company</w:t>
      </w:r>
      <w:r w:rsidRPr="00CB216A">
        <w:rPr>
          <w:rFonts w:ascii="Times New Roman" w:hAnsi="Times New Roman" w:cs="Times New Roman"/>
          <w:sz w:val="24"/>
          <w:szCs w:val="24"/>
          <w:lang w:val="en-US"/>
        </w:rPr>
        <w:t>’s stock</w:t>
      </w:r>
      <w:r w:rsidR="000E5B8E" w:rsidRPr="00CB216A">
        <w:rPr>
          <w:rFonts w:ascii="Times New Roman" w:hAnsi="Times New Roman" w:cs="Times New Roman"/>
          <w:sz w:val="24"/>
          <w:szCs w:val="24"/>
          <w:lang w:val="en-US"/>
        </w:rPr>
        <w:t xml:space="preserve">. Thus, </w:t>
      </w:r>
      <w:r w:rsidRPr="00CB216A">
        <w:rPr>
          <w:rFonts w:ascii="Times New Roman" w:hAnsi="Times New Roman" w:cs="Times New Roman"/>
          <w:sz w:val="24"/>
          <w:szCs w:val="24"/>
          <w:lang w:val="en-US"/>
        </w:rPr>
        <w:t xml:space="preserve">it leads to an increase in </w:t>
      </w:r>
      <w:r w:rsidR="000E5B8E" w:rsidRPr="00CB216A">
        <w:rPr>
          <w:rFonts w:ascii="Times New Roman" w:hAnsi="Times New Roman" w:cs="Times New Roman"/>
          <w:sz w:val="24"/>
          <w:szCs w:val="24"/>
          <w:lang w:val="en-US"/>
        </w:rPr>
        <w:t xml:space="preserve">stock price </w:t>
      </w:r>
      <w:r w:rsidRPr="00CB216A">
        <w:rPr>
          <w:rFonts w:ascii="Times New Roman" w:hAnsi="Times New Roman" w:cs="Times New Roman"/>
          <w:sz w:val="24"/>
          <w:szCs w:val="24"/>
          <w:lang w:val="en-US"/>
        </w:rPr>
        <w:t xml:space="preserve">and it, in turn, </w:t>
      </w:r>
      <w:r w:rsidR="000E5B8E" w:rsidRPr="00CB216A">
        <w:rPr>
          <w:rFonts w:ascii="Times New Roman" w:hAnsi="Times New Roman" w:cs="Times New Roman"/>
          <w:sz w:val="24"/>
          <w:szCs w:val="24"/>
          <w:lang w:val="en-US"/>
        </w:rPr>
        <w:t>has an impact on increasing stock returns. Thus</w:t>
      </w:r>
      <w:r w:rsidRPr="00CB216A">
        <w:rPr>
          <w:rFonts w:ascii="Times New Roman" w:hAnsi="Times New Roman" w:cs="Times New Roman"/>
          <w:sz w:val="24"/>
          <w:szCs w:val="24"/>
          <w:lang w:val="en-US"/>
        </w:rPr>
        <w:t>,</w:t>
      </w:r>
      <w:r w:rsidR="000E5B8E" w:rsidRPr="00CB216A">
        <w:rPr>
          <w:rFonts w:ascii="Times New Roman" w:hAnsi="Times New Roman" w:cs="Times New Roman"/>
          <w:sz w:val="24"/>
          <w:szCs w:val="24"/>
          <w:lang w:val="en-US"/>
        </w:rPr>
        <w:t xml:space="preserve"> it can be </w:t>
      </w:r>
      <w:r w:rsidRPr="00CB216A">
        <w:rPr>
          <w:rFonts w:ascii="Times New Roman" w:hAnsi="Times New Roman" w:cs="Times New Roman"/>
          <w:sz w:val="24"/>
          <w:szCs w:val="24"/>
          <w:lang w:val="en-US"/>
        </w:rPr>
        <w:t xml:space="preserve">concluded </w:t>
      </w:r>
      <w:r w:rsidR="000E5B8E" w:rsidRPr="00CB216A">
        <w:rPr>
          <w:rFonts w:ascii="Times New Roman" w:hAnsi="Times New Roman" w:cs="Times New Roman"/>
          <w:sz w:val="24"/>
          <w:szCs w:val="24"/>
          <w:lang w:val="en-US"/>
        </w:rPr>
        <w:t>that the higher the profitability of a company, the rate of return received by investors is also high.</w:t>
      </w:r>
      <w:r w:rsidRPr="00CB216A">
        <w:rPr>
          <w:rFonts w:ascii="Times New Roman" w:hAnsi="Times New Roman" w:cs="Times New Roman"/>
          <w:sz w:val="24"/>
          <w:szCs w:val="24"/>
          <w:lang w:val="en-US"/>
        </w:rPr>
        <w:t xml:space="preserve"> Based on this explanation, thus the study proposed the first hypothesis to be tested in the study, as follows: </w:t>
      </w:r>
    </w:p>
    <w:p w:rsidR="004B4471" w:rsidRPr="00CB216A" w:rsidRDefault="0046403F" w:rsidP="002513C1">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H1: Profitability affects </w:t>
      </w:r>
      <w:r w:rsidR="00153CA5" w:rsidRPr="00CB216A">
        <w:rPr>
          <w:rFonts w:ascii="Times New Roman" w:hAnsi="Times New Roman" w:cs="Times New Roman"/>
          <w:sz w:val="24"/>
          <w:szCs w:val="24"/>
          <w:lang w:val="en-US"/>
        </w:rPr>
        <w:t xml:space="preserve">Islamic stock </w:t>
      </w:r>
      <w:r w:rsidRPr="00CB216A">
        <w:rPr>
          <w:rFonts w:ascii="Times New Roman" w:hAnsi="Times New Roman" w:cs="Times New Roman"/>
          <w:sz w:val="24"/>
          <w:szCs w:val="24"/>
          <w:lang w:val="en-US"/>
        </w:rPr>
        <w:t>return</w:t>
      </w:r>
      <w:r w:rsidR="00153CA5" w:rsidRPr="00CB216A">
        <w:rPr>
          <w:rFonts w:ascii="Times New Roman" w:hAnsi="Times New Roman" w:cs="Times New Roman"/>
          <w:sz w:val="24"/>
          <w:szCs w:val="24"/>
          <w:lang w:val="en-US"/>
        </w:rPr>
        <w:t>s</w:t>
      </w:r>
      <w:r w:rsidRPr="00CB216A">
        <w:rPr>
          <w:rFonts w:ascii="Times New Roman" w:hAnsi="Times New Roman" w:cs="Times New Roman"/>
          <w:sz w:val="24"/>
          <w:szCs w:val="24"/>
          <w:lang w:val="en-US"/>
        </w:rPr>
        <w:t>.</w:t>
      </w:r>
    </w:p>
    <w:p w:rsidR="009C4504" w:rsidRPr="00CB216A" w:rsidRDefault="009C4504" w:rsidP="002513C1">
      <w:pPr>
        <w:shd w:val="clear" w:color="auto" w:fill="FFFFFF" w:themeFill="background1"/>
        <w:spacing w:before="100" w:beforeAutospacing="1" w:after="100" w:afterAutospacing="1"/>
        <w:jc w:val="both"/>
        <w:rPr>
          <w:rFonts w:ascii="Times New Roman" w:hAnsi="Times New Roman" w:cs="Times New Roman"/>
          <w:sz w:val="24"/>
          <w:szCs w:val="24"/>
          <w:lang w:val="en-US"/>
        </w:rPr>
      </w:pPr>
    </w:p>
    <w:p w:rsidR="004B4471"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sz w:val="24"/>
          <w:szCs w:val="24"/>
          <w:lang w:val="en-US"/>
        </w:rPr>
      </w:pPr>
      <w:r w:rsidRPr="00CB216A">
        <w:rPr>
          <w:rFonts w:ascii="Times New Roman" w:hAnsi="Times New Roman" w:cs="Times New Roman"/>
          <w:b/>
          <w:sz w:val="24"/>
          <w:szCs w:val="24"/>
          <w:lang w:val="en-US"/>
        </w:rPr>
        <w:lastRenderedPageBreak/>
        <w:t>Effect of Liquidity on Stock Returns</w:t>
      </w:r>
    </w:p>
    <w:p w:rsidR="00153CA5" w:rsidRPr="00CB216A" w:rsidRDefault="0046403F" w:rsidP="002513C1">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Companies that are </w:t>
      </w:r>
      <w:r w:rsidR="004B4471" w:rsidRPr="00CB216A">
        <w:rPr>
          <w:rFonts w:ascii="Times New Roman" w:hAnsi="Times New Roman" w:cs="Times New Roman"/>
          <w:sz w:val="24"/>
          <w:szCs w:val="24"/>
          <w:lang w:val="en-US"/>
        </w:rPr>
        <w:t xml:space="preserve">disciplined </w:t>
      </w:r>
      <w:r w:rsidRPr="00CB216A">
        <w:rPr>
          <w:rFonts w:ascii="Times New Roman" w:hAnsi="Times New Roman" w:cs="Times New Roman"/>
          <w:sz w:val="24"/>
          <w:szCs w:val="24"/>
          <w:lang w:val="en-US"/>
        </w:rPr>
        <w:t>and able to pay their short-term obligations</w:t>
      </w:r>
      <w:r w:rsidR="004B4471" w:rsidRPr="00CB216A">
        <w:rPr>
          <w:rFonts w:ascii="Times New Roman" w:hAnsi="Times New Roman" w:cs="Times New Roman"/>
          <w:sz w:val="24"/>
          <w:szCs w:val="24"/>
          <w:lang w:val="en-US"/>
        </w:rPr>
        <w:t xml:space="preserve"> on the schedule</w:t>
      </w:r>
      <w:r w:rsidRPr="00CB216A">
        <w:rPr>
          <w:rFonts w:ascii="Times New Roman" w:hAnsi="Times New Roman" w:cs="Times New Roman"/>
          <w:sz w:val="24"/>
          <w:szCs w:val="24"/>
          <w:lang w:val="en-US"/>
        </w:rPr>
        <w:t xml:space="preserve"> are said to be liquid. Liquidity is the company's ability to pay short-term debt with available assets. Budialim (2013) argues that investors can gain a higher rate of return on inves</w:t>
      </w:r>
      <w:r w:rsidRPr="00CB216A">
        <w:rPr>
          <w:rFonts w:ascii="Times New Roman" w:hAnsi="Times New Roman" w:cs="Times New Roman"/>
          <w:sz w:val="24"/>
          <w:szCs w:val="24"/>
          <w:lang w:val="en-US"/>
        </w:rPr>
        <w:t>ted s</w:t>
      </w:r>
      <w:r w:rsidR="004B4471" w:rsidRPr="00CB216A">
        <w:rPr>
          <w:rFonts w:ascii="Times New Roman" w:hAnsi="Times New Roman" w:cs="Times New Roman"/>
          <w:sz w:val="24"/>
          <w:szCs w:val="24"/>
          <w:lang w:val="en-US"/>
        </w:rPr>
        <w:t xml:space="preserve">tocks </w:t>
      </w:r>
      <w:r w:rsidRPr="00CB216A">
        <w:rPr>
          <w:rFonts w:ascii="Times New Roman" w:hAnsi="Times New Roman" w:cs="Times New Roman"/>
          <w:sz w:val="24"/>
          <w:szCs w:val="24"/>
          <w:lang w:val="en-US"/>
        </w:rPr>
        <w:t>if the company is able to meet its higher short-term obligations. This will provide confidence for investors to buy stocks, increase the company's stock price, and consequently its returns. Thus, it can be concluded that liquidity affects the re</w:t>
      </w:r>
      <w:r w:rsidRPr="00CB216A">
        <w:rPr>
          <w:rFonts w:ascii="Times New Roman" w:hAnsi="Times New Roman" w:cs="Times New Roman"/>
          <w:sz w:val="24"/>
          <w:szCs w:val="24"/>
          <w:lang w:val="en-US"/>
        </w:rPr>
        <w:t xml:space="preserve">turn of Islamic stocks. Based on this explanation, the second hypothesis is proposed to be tested in the study, as follows: </w:t>
      </w:r>
    </w:p>
    <w:p w:rsidR="00510D66"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H</w:t>
      </w:r>
      <w:r w:rsidRPr="00CB216A">
        <w:rPr>
          <w:rFonts w:ascii="Times New Roman" w:eastAsia="Times New Roman" w:hAnsi="Times New Roman" w:cs="Times New Roman"/>
          <w:color w:val="000000" w:themeColor="text1"/>
          <w:sz w:val="24"/>
          <w:szCs w:val="24"/>
          <w:vertAlign w:val="subscript"/>
          <w:lang w:val="en-US" w:eastAsia="id-ID"/>
        </w:rPr>
        <w:t>2</w:t>
      </w:r>
      <w:r w:rsidRPr="00CB216A">
        <w:rPr>
          <w:rFonts w:ascii="Times New Roman" w:eastAsia="Times New Roman" w:hAnsi="Times New Roman" w:cs="Times New Roman"/>
          <w:color w:val="000000" w:themeColor="text1"/>
          <w:sz w:val="24"/>
          <w:szCs w:val="24"/>
          <w:lang w:val="en-US" w:eastAsia="id-ID"/>
        </w:rPr>
        <w:t xml:space="preserve">: </w:t>
      </w:r>
      <w:r w:rsidR="00CB216A" w:rsidRPr="00CB216A">
        <w:rPr>
          <w:rFonts w:ascii="Times New Roman" w:eastAsia="Times New Roman" w:hAnsi="Times New Roman" w:cs="Times New Roman"/>
          <w:color w:val="000000" w:themeColor="text1"/>
          <w:sz w:val="24"/>
          <w:szCs w:val="24"/>
          <w:lang w:val="en-US" w:eastAsia="id-ID"/>
        </w:rPr>
        <w:t>Liquidity</w:t>
      </w:r>
      <w:r w:rsidR="00153CA5" w:rsidRPr="00CB216A">
        <w:rPr>
          <w:rFonts w:ascii="Times New Roman" w:eastAsia="Times New Roman" w:hAnsi="Times New Roman" w:cs="Times New Roman"/>
          <w:color w:val="000000" w:themeColor="text1"/>
          <w:sz w:val="24"/>
          <w:szCs w:val="24"/>
          <w:lang w:val="en-US" w:eastAsia="id-ID"/>
        </w:rPr>
        <w:t xml:space="preserve"> affects Islamic stock return</w:t>
      </w:r>
      <w:r w:rsidRPr="00CB216A">
        <w:rPr>
          <w:rFonts w:ascii="Times New Roman" w:eastAsia="Times New Roman" w:hAnsi="Times New Roman" w:cs="Times New Roman"/>
          <w:color w:val="000000" w:themeColor="text1"/>
          <w:sz w:val="24"/>
          <w:szCs w:val="24"/>
          <w:lang w:val="en-US" w:eastAsia="id-ID"/>
        </w:rPr>
        <w:t>s.</w:t>
      </w:r>
    </w:p>
    <w:p w:rsidR="00510D66"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b/>
          <w:color w:val="000000" w:themeColor="text1"/>
          <w:sz w:val="24"/>
          <w:szCs w:val="24"/>
          <w:lang w:val="en-US" w:eastAsia="id-ID"/>
        </w:rPr>
      </w:pPr>
      <w:r w:rsidRPr="00CB216A">
        <w:rPr>
          <w:rFonts w:ascii="Times New Roman" w:hAnsi="Times New Roman" w:cs="Times New Roman"/>
          <w:b/>
          <w:color w:val="000000" w:themeColor="text1"/>
          <w:sz w:val="24"/>
          <w:szCs w:val="24"/>
          <w:lang w:val="en-US"/>
        </w:rPr>
        <w:t>Effect of Solvency on Stock Return</w:t>
      </w:r>
    </w:p>
    <w:p w:rsidR="00510D6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Solvency illustrates how much the company's assets </w:t>
      </w:r>
      <w:r w:rsidRPr="00CB216A">
        <w:rPr>
          <w:rFonts w:ascii="Times New Roman" w:hAnsi="Times New Roman" w:cs="Times New Roman"/>
          <w:color w:val="000000" w:themeColor="text1"/>
          <w:sz w:val="24"/>
          <w:szCs w:val="24"/>
          <w:lang w:val="en-US"/>
        </w:rPr>
        <w:t>are financed by debt (Kasmir, 2010). Bisara and Amanah (2015) also stated that solvency is the company's ability to meet its long-term obligations when the company is liquidated. When a company is liquidated or suffers losses, a company with a high debt bu</w:t>
      </w:r>
      <w:r w:rsidRPr="00CB216A">
        <w:rPr>
          <w:rFonts w:ascii="Times New Roman" w:hAnsi="Times New Roman" w:cs="Times New Roman"/>
          <w:color w:val="000000" w:themeColor="text1"/>
          <w:sz w:val="24"/>
          <w:szCs w:val="24"/>
          <w:lang w:val="en-US"/>
        </w:rPr>
        <w:t>rden will not be able to pay off its debt or dividends. This makes investors reluctant to invest their monies in the company so that the stock price decreases and it consequently causes reduces stock returns. Referring to this, thus the third hypothesis to</w:t>
      </w:r>
      <w:r w:rsidRPr="00CB216A">
        <w:rPr>
          <w:rFonts w:ascii="Times New Roman" w:hAnsi="Times New Roman" w:cs="Times New Roman"/>
          <w:color w:val="000000" w:themeColor="text1"/>
          <w:sz w:val="24"/>
          <w:szCs w:val="24"/>
          <w:lang w:val="en-US"/>
        </w:rPr>
        <w:t xml:space="preserve"> be tested in the study is proposed, as follows:</w:t>
      </w:r>
    </w:p>
    <w:p w:rsidR="00510D6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H3: Solvency affects sharia stock returns</w:t>
      </w:r>
      <w:r w:rsidR="00BF3205" w:rsidRPr="00CB216A">
        <w:rPr>
          <w:rFonts w:ascii="Times New Roman" w:hAnsi="Times New Roman" w:cs="Times New Roman"/>
          <w:color w:val="000000" w:themeColor="text1"/>
          <w:sz w:val="24"/>
          <w:szCs w:val="24"/>
          <w:lang w:val="en-US"/>
        </w:rPr>
        <w:t>.</w:t>
      </w:r>
    </w:p>
    <w:p w:rsidR="00510D6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Effect of Company Size on Stock Return</w:t>
      </w:r>
    </w:p>
    <w:p w:rsidR="00510D6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Company size is a picture of the size of a company's activities. The size of the company determines the company by taking risks. Companies with larger sizes have lower risks because they have better control over their activities (Prasetyorini, 2013). Compa</w:t>
      </w:r>
      <w:r w:rsidRPr="00CB216A">
        <w:rPr>
          <w:rFonts w:ascii="Times New Roman" w:hAnsi="Times New Roman" w:cs="Times New Roman"/>
          <w:color w:val="000000" w:themeColor="text1"/>
          <w:sz w:val="24"/>
          <w:szCs w:val="24"/>
          <w:lang w:val="en-US"/>
        </w:rPr>
        <w:t>nies with large sizes also have broad expansion so that it is known in the community. For investors, this gives a positive signal because investors will more easily obtain valid information about the company's performance. Therefore, investors will be more</w:t>
      </w:r>
      <w:r w:rsidRPr="00CB216A">
        <w:rPr>
          <w:rFonts w:ascii="Times New Roman" w:hAnsi="Times New Roman" w:cs="Times New Roman"/>
          <w:color w:val="000000" w:themeColor="text1"/>
          <w:sz w:val="24"/>
          <w:szCs w:val="24"/>
          <w:lang w:val="en-US"/>
        </w:rPr>
        <w:t xml:space="preserve"> interested in buying the stock of large companies. Thus, this causes the company's stock price to increase as well as its stock returns. Thus, it can be said that the size of the company affects the return of Islamic stocks. On this basis, thus the last h</w:t>
      </w:r>
      <w:r w:rsidRPr="00CB216A">
        <w:rPr>
          <w:rFonts w:ascii="Times New Roman" w:hAnsi="Times New Roman" w:cs="Times New Roman"/>
          <w:color w:val="000000" w:themeColor="text1"/>
          <w:sz w:val="24"/>
          <w:szCs w:val="24"/>
          <w:lang w:val="en-US"/>
        </w:rPr>
        <w:t>ypothesis to be examined in the study is proposed, as follows:</w:t>
      </w:r>
    </w:p>
    <w:p w:rsidR="00D37D43"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lastRenderedPageBreak/>
        <w:t>H4: Firm size influences sharia stock returns.</w:t>
      </w:r>
    </w:p>
    <w:p w:rsidR="00D37D43"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RESEARCH METHODS</w:t>
      </w:r>
    </w:p>
    <w:p w:rsidR="0065489C"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b/>
          <w:color w:val="222222"/>
          <w:sz w:val="24"/>
          <w:szCs w:val="24"/>
          <w:lang w:val="en-US"/>
        </w:rPr>
      </w:pPr>
      <w:r w:rsidRPr="00CB216A">
        <w:rPr>
          <w:rFonts w:ascii="Times New Roman" w:eastAsia="Times New Roman" w:hAnsi="Times New Roman" w:cs="Times New Roman"/>
          <w:b/>
          <w:color w:val="222222"/>
          <w:sz w:val="24"/>
          <w:szCs w:val="24"/>
          <w:lang w:val="en-US"/>
        </w:rPr>
        <w:t>Data</w:t>
      </w:r>
    </w:p>
    <w:p w:rsidR="0065489C"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 xml:space="preserve">The population of this study is all 30 companies’ stocks that are listed on the Jakarta Islamic Index (JII), the Indonesian </w:t>
      </w:r>
      <w:r w:rsidRPr="00CB216A">
        <w:rPr>
          <w:rFonts w:ascii="Times New Roman" w:eastAsia="Times New Roman" w:hAnsi="Times New Roman" w:cs="Times New Roman"/>
          <w:color w:val="222222"/>
          <w:sz w:val="24"/>
          <w:szCs w:val="24"/>
          <w:lang w:val="en-US"/>
        </w:rPr>
        <w:t xml:space="preserve">Stock Exchange. The purposive sampling technique is used to select the Islamic stocks based on the certain set criteria (Sugiyono, 2010) to be explored and analyzed their stock returns’ determinants, including profitability, liquidity, </w:t>
      </w:r>
      <w:r w:rsidR="009C4504" w:rsidRPr="00CB216A">
        <w:rPr>
          <w:rFonts w:ascii="Times New Roman" w:eastAsia="Times New Roman" w:hAnsi="Times New Roman" w:cs="Times New Roman"/>
          <w:color w:val="222222"/>
          <w:sz w:val="24"/>
          <w:szCs w:val="24"/>
          <w:lang w:val="en-US"/>
        </w:rPr>
        <w:t>solvency</w:t>
      </w:r>
      <w:r w:rsidRPr="00CB216A">
        <w:rPr>
          <w:rFonts w:ascii="Times New Roman" w:eastAsia="Times New Roman" w:hAnsi="Times New Roman" w:cs="Times New Roman"/>
          <w:color w:val="222222"/>
          <w:sz w:val="24"/>
          <w:szCs w:val="24"/>
          <w:lang w:val="en-US"/>
        </w:rPr>
        <w:t>, and company size. The sample selection in this study is based on the criteria, i.e., that companies are listed on the JII, the Indonesian Stock Exchange and their needed data for analyses are available during the 2013-2017 period. Based on these criteria</w:t>
      </w:r>
      <w:r w:rsidRPr="00CB216A">
        <w:rPr>
          <w:rFonts w:ascii="Times New Roman" w:eastAsia="Times New Roman" w:hAnsi="Times New Roman" w:cs="Times New Roman"/>
          <w:color w:val="222222"/>
          <w:sz w:val="24"/>
          <w:szCs w:val="24"/>
          <w:lang w:val="en-US"/>
        </w:rPr>
        <w:t xml:space="preserve">, 85 observations were identified for further analyses. The secondary data used in this study are gathered from the company's financial statements listed in the JII, the Indonesian Stock Exchange over the 2013-2017 period. </w:t>
      </w:r>
    </w:p>
    <w:p w:rsidR="0065489C"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b/>
          <w:color w:val="222222"/>
          <w:sz w:val="24"/>
          <w:szCs w:val="24"/>
          <w:lang w:val="en-US"/>
        </w:rPr>
      </w:pPr>
      <w:r w:rsidRPr="00CB216A">
        <w:rPr>
          <w:rFonts w:ascii="Times New Roman" w:eastAsia="Times New Roman" w:hAnsi="Times New Roman" w:cs="Times New Roman"/>
          <w:b/>
          <w:color w:val="222222"/>
          <w:sz w:val="24"/>
          <w:szCs w:val="24"/>
          <w:lang w:val="en-US"/>
        </w:rPr>
        <w:t>Measurement</w:t>
      </w:r>
      <w:r w:rsidR="000C6D31" w:rsidRPr="00CB216A">
        <w:rPr>
          <w:rFonts w:ascii="Times New Roman" w:eastAsia="Times New Roman" w:hAnsi="Times New Roman" w:cs="Times New Roman"/>
          <w:b/>
          <w:color w:val="222222"/>
          <w:sz w:val="24"/>
          <w:szCs w:val="24"/>
          <w:lang w:val="en-US"/>
        </w:rPr>
        <w:t xml:space="preserve"> of the Variables</w:t>
      </w:r>
    </w:p>
    <w:p w:rsidR="005C05C4" w:rsidRPr="00CB216A" w:rsidRDefault="0046403F" w:rsidP="002513C1">
      <w:pPr>
        <w:shd w:val="clear" w:color="auto" w:fill="FFFFFF" w:themeFill="background1"/>
        <w:spacing w:after="0" w:line="240" w:lineRule="auto"/>
        <w:ind w:firstLine="720"/>
        <w:contextualSpacing/>
        <w:jc w:val="center"/>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Tab</w:t>
      </w:r>
      <w:r w:rsidR="00FD24D7" w:rsidRPr="00CB216A">
        <w:rPr>
          <w:rFonts w:ascii="Times New Roman" w:hAnsi="Times New Roman" w:cs="Times New Roman"/>
          <w:color w:val="000000" w:themeColor="text1"/>
          <w:sz w:val="24"/>
          <w:szCs w:val="24"/>
          <w:lang w:val="en-US"/>
        </w:rPr>
        <w:t>l</w:t>
      </w:r>
      <w:r w:rsidRPr="00CB216A">
        <w:rPr>
          <w:rFonts w:ascii="Times New Roman" w:hAnsi="Times New Roman" w:cs="Times New Roman"/>
          <w:color w:val="000000" w:themeColor="text1"/>
          <w:sz w:val="24"/>
          <w:szCs w:val="24"/>
          <w:lang w:val="en-US"/>
        </w:rPr>
        <w:t>e</w:t>
      </w:r>
      <w:r w:rsidR="00FD24D7"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2. Measurements of Variables</w:t>
      </w:r>
    </w:p>
    <w:tbl>
      <w:tblPr>
        <w:tblStyle w:val="TableGrid"/>
        <w:tblpPr w:leftFromText="180" w:rightFromText="180" w:vertAnchor="text" w:horzAnchor="margin" w:tblpXSpec="center" w:tblpY="287"/>
        <w:tblW w:w="7969" w:type="dxa"/>
        <w:tblBorders>
          <w:left w:val="none" w:sz="0" w:space="0" w:color="auto"/>
          <w:right w:val="none" w:sz="0" w:space="0" w:color="auto"/>
          <w:insideH w:val="none" w:sz="0" w:space="0" w:color="auto"/>
          <w:insideV w:val="none" w:sz="0" w:space="0" w:color="auto"/>
        </w:tblBorders>
        <w:tblLayout w:type="fixed"/>
        <w:tblLook w:val="04A0"/>
      </w:tblPr>
      <w:tblGrid>
        <w:gridCol w:w="1620"/>
        <w:gridCol w:w="3969"/>
        <w:gridCol w:w="2380"/>
      </w:tblGrid>
      <w:tr w:rsidR="00A91EE8" w:rsidTr="000C6D31">
        <w:trPr>
          <w:trHeight w:val="20"/>
        </w:trPr>
        <w:tc>
          <w:tcPr>
            <w:tcW w:w="1620" w:type="dxa"/>
            <w:tcBorders>
              <w:bottom w:val="single" w:sz="4" w:space="0" w:color="auto"/>
            </w:tcBorders>
          </w:tcPr>
          <w:p w:rsidR="00CC46D9" w:rsidRPr="00CB216A" w:rsidRDefault="0046403F" w:rsidP="002513C1">
            <w:pPr>
              <w:shd w:val="clear" w:color="auto" w:fill="FFFFFF" w:themeFill="background1"/>
              <w:contextualSpacing/>
              <w:jc w:val="center"/>
              <w:rPr>
                <w:rFonts w:ascii="Times New Roman" w:hAnsi="Times New Roman" w:cs="Times New Roman"/>
                <w:b/>
                <w:color w:val="000000" w:themeColor="text1"/>
                <w:sz w:val="20"/>
                <w:szCs w:val="20"/>
                <w:lang w:val="en-US"/>
              </w:rPr>
            </w:pPr>
            <w:r w:rsidRPr="00CB216A">
              <w:rPr>
                <w:rFonts w:ascii="Times New Roman" w:hAnsi="Times New Roman" w:cs="Times New Roman"/>
                <w:b/>
                <w:color w:val="000000" w:themeColor="text1"/>
                <w:sz w:val="20"/>
                <w:szCs w:val="20"/>
                <w:lang w:val="en-US"/>
              </w:rPr>
              <w:t>Variab</w:t>
            </w:r>
            <w:r w:rsidR="004C603F" w:rsidRPr="00CB216A">
              <w:rPr>
                <w:rFonts w:ascii="Times New Roman" w:hAnsi="Times New Roman" w:cs="Times New Roman"/>
                <w:b/>
                <w:color w:val="000000" w:themeColor="text1"/>
                <w:sz w:val="20"/>
                <w:szCs w:val="20"/>
                <w:lang w:val="en-US"/>
              </w:rPr>
              <w:t>le</w:t>
            </w:r>
          </w:p>
        </w:tc>
        <w:tc>
          <w:tcPr>
            <w:tcW w:w="3969" w:type="dxa"/>
            <w:tcBorders>
              <w:bottom w:val="single" w:sz="4" w:space="0" w:color="auto"/>
            </w:tcBorders>
          </w:tcPr>
          <w:p w:rsidR="00CC46D9" w:rsidRPr="00CB216A" w:rsidRDefault="0046403F" w:rsidP="002513C1">
            <w:pPr>
              <w:shd w:val="clear" w:color="auto" w:fill="FFFFFF" w:themeFill="background1"/>
              <w:contextualSpacing/>
              <w:jc w:val="center"/>
              <w:rPr>
                <w:rFonts w:ascii="Times New Roman" w:hAnsi="Times New Roman" w:cs="Times New Roman"/>
                <w:b/>
                <w:color w:val="000000" w:themeColor="text1"/>
                <w:sz w:val="20"/>
                <w:szCs w:val="20"/>
                <w:lang w:val="en-US"/>
              </w:rPr>
            </w:pPr>
            <w:r w:rsidRPr="00CB216A">
              <w:rPr>
                <w:rFonts w:ascii="Times New Roman" w:hAnsi="Times New Roman" w:cs="Times New Roman"/>
                <w:b/>
                <w:color w:val="000000" w:themeColor="text1"/>
                <w:sz w:val="20"/>
                <w:szCs w:val="20"/>
                <w:lang w:val="en-US"/>
              </w:rPr>
              <w:t>Measurement</w:t>
            </w:r>
          </w:p>
        </w:tc>
        <w:tc>
          <w:tcPr>
            <w:tcW w:w="2380" w:type="dxa"/>
            <w:tcBorders>
              <w:bottom w:val="single" w:sz="4" w:space="0" w:color="auto"/>
            </w:tcBorders>
          </w:tcPr>
          <w:p w:rsidR="00CC46D9" w:rsidRPr="00CB216A" w:rsidRDefault="0046403F" w:rsidP="002513C1">
            <w:pPr>
              <w:shd w:val="clear" w:color="auto" w:fill="FFFFFF" w:themeFill="background1"/>
              <w:contextualSpacing/>
              <w:jc w:val="center"/>
              <w:rPr>
                <w:rFonts w:ascii="Times New Roman" w:hAnsi="Times New Roman" w:cs="Times New Roman"/>
                <w:b/>
                <w:color w:val="000000" w:themeColor="text1"/>
                <w:sz w:val="20"/>
                <w:szCs w:val="20"/>
                <w:lang w:val="en-US"/>
              </w:rPr>
            </w:pPr>
            <w:r w:rsidRPr="00CB216A">
              <w:rPr>
                <w:rFonts w:ascii="Times New Roman" w:hAnsi="Times New Roman" w:cs="Times New Roman"/>
                <w:b/>
                <w:color w:val="000000" w:themeColor="text1"/>
                <w:sz w:val="20"/>
                <w:szCs w:val="20"/>
                <w:lang w:val="en-US"/>
              </w:rPr>
              <w:t>Reference</w:t>
            </w:r>
            <w:r w:rsidR="000C6D31" w:rsidRPr="00CB216A">
              <w:rPr>
                <w:rFonts w:ascii="Times New Roman" w:hAnsi="Times New Roman" w:cs="Times New Roman"/>
                <w:b/>
                <w:color w:val="000000" w:themeColor="text1"/>
                <w:sz w:val="20"/>
                <w:szCs w:val="20"/>
                <w:lang w:val="en-US"/>
              </w:rPr>
              <w:t>s</w:t>
            </w:r>
          </w:p>
        </w:tc>
      </w:tr>
      <w:tr w:rsidR="00A91EE8" w:rsidTr="000C6D31">
        <w:trPr>
          <w:trHeight w:val="20"/>
        </w:trPr>
        <w:tc>
          <w:tcPr>
            <w:tcW w:w="1620" w:type="dxa"/>
            <w:tcBorders>
              <w:top w:val="single" w:sz="4" w:space="0" w:color="auto"/>
              <w:bottom w:val="single" w:sz="4" w:space="0" w:color="auto"/>
            </w:tcBorders>
          </w:tcPr>
          <w:p w:rsidR="00CC46D9" w:rsidRPr="00CB216A" w:rsidRDefault="00CC46D9" w:rsidP="002513C1">
            <w:pPr>
              <w:shd w:val="clear" w:color="auto" w:fill="FFFFFF" w:themeFill="background1"/>
              <w:contextualSpacing/>
              <w:jc w:val="center"/>
              <w:rPr>
                <w:rFonts w:ascii="Times New Roman" w:hAnsi="Times New Roman" w:cs="Times New Roman"/>
                <w:color w:val="000000" w:themeColor="text1"/>
                <w:sz w:val="20"/>
                <w:szCs w:val="20"/>
                <w:lang w:val="en-US"/>
              </w:rPr>
            </w:pPr>
          </w:p>
          <w:p w:rsidR="00CC46D9" w:rsidRPr="00CB216A" w:rsidRDefault="0046403F" w:rsidP="002513C1">
            <w:pPr>
              <w:shd w:val="clear" w:color="auto" w:fill="FFFFFF" w:themeFill="background1"/>
              <w:contextualSpacing/>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 xml:space="preserve">Islamic </w:t>
            </w:r>
            <w:r w:rsidR="001F3C82" w:rsidRPr="00CB216A">
              <w:rPr>
                <w:rFonts w:ascii="Times New Roman" w:hAnsi="Times New Roman" w:cs="Times New Roman"/>
                <w:color w:val="000000" w:themeColor="text1"/>
                <w:sz w:val="20"/>
                <w:szCs w:val="20"/>
                <w:lang w:val="en-US"/>
              </w:rPr>
              <w:t>S</w:t>
            </w:r>
            <w:r w:rsidRPr="00CB216A">
              <w:rPr>
                <w:rFonts w:ascii="Times New Roman" w:hAnsi="Times New Roman" w:cs="Times New Roman"/>
                <w:color w:val="000000" w:themeColor="text1"/>
                <w:sz w:val="20"/>
                <w:szCs w:val="20"/>
                <w:lang w:val="en-US"/>
              </w:rPr>
              <w:t xml:space="preserve">tock returns (ISR) </w:t>
            </w:r>
          </w:p>
        </w:tc>
        <w:tc>
          <w:tcPr>
            <w:tcW w:w="3969" w:type="dxa"/>
            <w:tcBorders>
              <w:top w:val="single" w:sz="4" w:space="0" w:color="auto"/>
              <w:bottom w:val="single" w:sz="4" w:space="0" w:color="auto"/>
            </w:tcBorders>
          </w:tcPr>
          <w:p w:rsidR="00CC46D9" w:rsidRPr="00CB216A" w:rsidRDefault="00CC46D9" w:rsidP="002513C1">
            <w:pPr>
              <w:shd w:val="clear" w:color="auto" w:fill="FFFFFF" w:themeFill="background1"/>
              <w:ind w:firstLine="720"/>
              <w:contextualSpacing/>
              <w:jc w:val="both"/>
              <w:rPr>
                <w:rFonts w:ascii="Times New Roman" w:eastAsiaTheme="minorEastAsia" w:hAnsi="Times New Roman" w:cs="Times New Roman"/>
                <w:color w:val="000000" w:themeColor="text1"/>
                <w:sz w:val="12"/>
                <w:szCs w:val="12"/>
                <w:lang w:val="en-US"/>
              </w:rPr>
            </w:pPr>
          </w:p>
          <w:p w:rsidR="001F3C82" w:rsidRPr="00CB216A" w:rsidRDefault="0046403F" w:rsidP="002513C1">
            <w:pPr>
              <w:shd w:val="clear" w:color="auto" w:fill="FFFFFF" w:themeFill="background1"/>
              <w:ind w:left="507"/>
              <w:contextualSpacing/>
              <w:jc w:val="center"/>
              <w:rPr>
                <w:rFonts w:ascii="Times New Roman" w:eastAsiaTheme="minorEastAsia" w:hAnsi="Times New Roman" w:cs="Times New Roman"/>
                <w:color w:val="000000" w:themeColor="text1"/>
                <w:sz w:val="20"/>
                <w:szCs w:val="20"/>
                <w:lang w:val="en-US"/>
              </w:rPr>
            </w:pPr>
            <m:oMath>
              <m:r>
                <m:rPr>
                  <m:sty m:val="p"/>
                </m:rPr>
                <w:rPr>
                  <w:rFonts w:ascii="Cambria Math" w:hAnsi="Cambria Math" w:cs="Times New Roman"/>
                  <w:color w:val="000000" w:themeColor="text1"/>
                  <w:sz w:val="20"/>
                  <w:szCs w:val="20"/>
                  <w:lang w:val="en-US"/>
                </w:rPr>
                <m:t>Rt=</m:t>
              </m:r>
              <m:f>
                <m:fPr>
                  <m:ctrlPr>
                    <w:rPr>
                      <w:rFonts w:ascii="Cambria Math" w:hAnsi="Cambria Math" w:cs="Times New Roman"/>
                      <w:color w:val="000000" w:themeColor="text1"/>
                      <w:sz w:val="20"/>
                      <w:szCs w:val="20"/>
                      <w:lang w:val="en-US"/>
                    </w:rPr>
                  </m:ctrlPr>
                </m:fPr>
                <m:num>
                  <m:sSub>
                    <m:sSubPr>
                      <m:ctrlPr>
                        <w:rPr>
                          <w:rFonts w:ascii="Cambria Math" w:hAnsi="Cambria Math" w:cs="Times New Roman"/>
                          <w:color w:val="000000" w:themeColor="text1"/>
                          <w:sz w:val="20"/>
                          <w:szCs w:val="20"/>
                          <w:lang w:val="en-US"/>
                        </w:rPr>
                      </m:ctrlPr>
                    </m:sSubPr>
                    <m:e>
                      <m:sSub>
                        <m:sSubPr>
                          <m:ctrlPr>
                            <w:rPr>
                              <w:rFonts w:ascii="Cambria Math" w:hAnsi="Cambria Math" w:cs="Times New Roman"/>
                              <w:color w:val="000000" w:themeColor="text1"/>
                              <w:sz w:val="20"/>
                              <w:szCs w:val="20"/>
                              <w:lang w:val="en-US"/>
                            </w:rPr>
                          </m:ctrlPr>
                        </m:sSubPr>
                        <m:e>
                          <m:r>
                            <m:rPr>
                              <m:sty m:val="p"/>
                            </m:rPr>
                            <w:rPr>
                              <w:rFonts w:ascii="Cambria Math" w:hAnsi="Cambria Math" w:cs="Times New Roman"/>
                              <w:color w:val="000000" w:themeColor="text1"/>
                              <w:sz w:val="20"/>
                              <w:szCs w:val="20"/>
                              <w:lang w:val="en-US"/>
                            </w:rPr>
                            <m:t>P</m:t>
                          </m:r>
                        </m:e>
                        <m:sub>
                          <m:r>
                            <m:rPr>
                              <m:sty m:val="p"/>
                            </m:rPr>
                            <w:rPr>
                              <w:rFonts w:ascii="Cambria Math" w:hAnsi="Cambria Math" w:cs="Times New Roman"/>
                              <w:color w:val="000000" w:themeColor="text1"/>
                              <w:sz w:val="20"/>
                              <w:szCs w:val="20"/>
                              <w:lang w:val="en-US"/>
                            </w:rPr>
                            <m:t>t</m:t>
                          </m:r>
                        </m:sub>
                      </m:sSub>
                      <m:r>
                        <m:rPr>
                          <m:sty m:val="p"/>
                        </m:rPr>
                        <w:rPr>
                          <w:rFonts w:ascii="Cambria Math" w:hAnsi="Cambria Math" w:cs="Times New Roman"/>
                          <w:color w:val="000000" w:themeColor="text1"/>
                          <w:sz w:val="20"/>
                          <w:szCs w:val="20"/>
                          <w:lang w:val="en-US"/>
                        </w:rPr>
                        <m:t>-P</m:t>
                      </m:r>
                    </m:e>
                    <m:sub>
                      <m:r>
                        <m:rPr>
                          <m:sty m:val="p"/>
                        </m:rPr>
                        <w:rPr>
                          <w:rFonts w:ascii="Cambria Math" w:hAnsi="Cambria Math" w:cs="Times New Roman"/>
                          <w:color w:val="000000" w:themeColor="text1"/>
                          <w:sz w:val="20"/>
                          <w:szCs w:val="20"/>
                          <w:lang w:val="en-US"/>
                        </w:rPr>
                        <m:t xml:space="preserve">t-1 </m:t>
                      </m:r>
                    </m:sub>
                  </m:sSub>
                </m:num>
                <m:den>
                  <m:sSub>
                    <m:sSubPr>
                      <m:ctrlPr>
                        <w:rPr>
                          <w:rFonts w:ascii="Cambria Math" w:hAnsi="Cambria Math" w:cs="Times New Roman"/>
                          <w:color w:val="000000" w:themeColor="text1"/>
                          <w:sz w:val="20"/>
                          <w:szCs w:val="20"/>
                          <w:lang w:val="en-US"/>
                        </w:rPr>
                      </m:ctrlPr>
                    </m:sSubPr>
                    <m:e>
                      <m:r>
                        <m:rPr>
                          <m:sty m:val="p"/>
                        </m:rPr>
                        <w:rPr>
                          <w:rFonts w:ascii="Cambria Math" w:hAnsi="Cambria Math" w:cs="Times New Roman"/>
                          <w:color w:val="000000" w:themeColor="text1"/>
                          <w:sz w:val="20"/>
                          <w:szCs w:val="20"/>
                          <w:lang w:val="en-US"/>
                        </w:rPr>
                        <m:t>P</m:t>
                      </m:r>
                    </m:e>
                    <m:sub>
                      <m:r>
                        <m:rPr>
                          <m:sty m:val="p"/>
                        </m:rPr>
                        <w:rPr>
                          <w:rFonts w:ascii="Cambria Math" w:hAnsi="Cambria Math" w:cs="Times New Roman"/>
                          <w:color w:val="000000" w:themeColor="text1"/>
                          <w:sz w:val="20"/>
                          <w:szCs w:val="20"/>
                          <w:lang w:val="en-US"/>
                        </w:rPr>
                        <m:t>t-1</m:t>
                      </m:r>
                    </m:sub>
                  </m:sSub>
                </m:den>
              </m:f>
            </m:oMath>
            <w:r w:rsidRPr="00CB216A">
              <w:rPr>
                <w:rFonts w:ascii="Times New Roman" w:eastAsiaTheme="minorEastAsia" w:hAnsi="Times New Roman" w:cs="Times New Roman"/>
                <w:color w:val="000000" w:themeColor="text1"/>
                <w:sz w:val="20"/>
                <w:szCs w:val="20"/>
                <w:lang w:val="en-US"/>
              </w:rPr>
              <w:t xml:space="preserve">         </w:t>
            </w:r>
          </w:p>
          <w:p w:rsidR="001F3C82" w:rsidRPr="00CB216A" w:rsidRDefault="0046403F" w:rsidP="002513C1">
            <w:pPr>
              <w:shd w:val="clear" w:color="auto" w:fill="FFFFFF" w:themeFill="background1"/>
              <w:ind w:left="507"/>
              <w:contextualSpacing/>
              <w:jc w:val="center"/>
              <w:rPr>
                <w:rFonts w:ascii="Times New Roman" w:eastAsiaTheme="minorEastAsia" w:hAnsi="Times New Roman" w:cs="Times New Roman"/>
                <w:color w:val="000000" w:themeColor="text1"/>
                <w:sz w:val="12"/>
                <w:szCs w:val="12"/>
                <w:lang w:val="en-US"/>
              </w:rPr>
            </w:pPr>
            <w:r w:rsidRPr="00CB216A">
              <w:rPr>
                <w:rFonts w:ascii="Times New Roman" w:eastAsiaTheme="minorEastAsia" w:hAnsi="Times New Roman" w:cs="Times New Roman"/>
                <w:color w:val="000000" w:themeColor="text1"/>
                <w:sz w:val="20"/>
                <w:szCs w:val="20"/>
                <w:lang w:val="en-US"/>
              </w:rPr>
              <w:t xml:space="preserve">                  </w:t>
            </w:r>
          </w:p>
          <w:p w:rsidR="00CC46D9" w:rsidRPr="00CB216A" w:rsidRDefault="0046403F" w:rsidP="002513C1">
            <w:pPr>
              <w:shd w:val="clear" w:color="auto" w:fill="FFFFFF" w:themeFill="background1"/>
              <w:contextualSpacing/>
              <w:rPr>
                <w:rFonts w:ascii="Times New Roman" w:eastAsiaTheme="minorEastAsia" w:hAnsi="Times New Roman" w:cs="Times New Roman"/>
                <w:color w:val="000000" w:themeColor="text1"/>
                <w:sz w:val="20"/>
                <w:szCs w:val="20"/>
                <w:lang w:val="en-US"/>
              </w:rPr>
            </w:pPr>
            <w:r w:rsidRPr="00CB216A">
              <w:rPr>
                <w:rFonts w:ascii="Times New Roman" w:eastAsiaTheme="minorEastAsia" w:hAnsi="Times New Roman" w:cs="Times New Roman"/>
                <w:color w:val="000000" w:themeColor="text1"/>
                <w:sz w:val="20"/>
                <w:szCs w:val="20"/>
                <w:lang w:val="en-US"/>
              </w:rPr>
              <w:t xml:space="preserve"> </w:t>
            </w:r>
            <w:r w:rsidRPr="00CB216A">
              <w:rPr>
                <w:rFonts w:ascii="Times New Roman" w:hAnsi="Times New Roman" w:cs="Times New Roman"/>
                <w:color w:val="000000" w:themeColor="text1"/>
                <w:sz w:val="20"/>
                <w:szCs w:val="20"/>
                <w:lang w:val="en-US"/>
              </w:rPr>
              <w:t xml:space="preserve">where </w:t>
            </w:r>
            <w:r w:rsidR="004C603F" w:rsidRPr="00CB216A">
              <w:rPr>
                <w:rFonts w:ascii="Times New Roman" w:hAnsi="Times New Roman" w:cs="Times New Roman"/>
                <w:color w:val="000000" w:themeColor="text1"/>
                <w:sz w:val="20"/>
                <w:szCs w:val="20"/>
                <w:lang w:val="en-US"/>
              </w:rPr>
              <w:t>R</w:t>
            </w:r>
            <w:r w:rsidR="004C603F" w:rsidRPr="00CB216A">
              <w:rPr>
                <w:rFonts w:ascii="Times New Roman" w:hAnsi="Times New Roman" w:cs="Times New Roman"/>
                <w:color w:val="000000" w:themeColor="text1"/>
                <w:sz w:val="20"/>
                <w:szCs w:val="20"/>
                <w:vertAlign w:val="subscript"/>
                <w:lang w:val="en-US"/>
              </w:rPr>
              <w:t>t</w:t>
            </w:r>
            <w:r w:rsidR="004C603F" w:rsidRPr="00CB216A">
              <w:rPr>
                <w:rFonts w:ascii="Times New Roman" w:hAnsi="Times New Roman" w:cs="Times New Roman"/>
                <w:color w:val="000000" w:themeColor="text1"/>
                <w:sz w:val="20"/>
                <w:szCs w:val="20"/>
                <w:lang w:val="en-US"/>
              </w:rPr>
              <w:t xml:space="preserve"> is the stock returns, P</w:t>
            </w:r>
            <w:r w:rsidR="004C603F" w:rsidRPr="00CB216A">
              <w:rPr>
                <w:rFonts w:ascii="Times New Roman" w:hAnsi="Times New Roman" w:cs="Times New Roman"/>
                <w:color w:val="000000" w:themeColor="text1"/>
                <w:sz w:val="20"/>
                <w:szCs w:val="20"/>
                <w:vertAlign w:val="subscript"/>
                <w:lang w:val="en-US"/>
              </w:rPr>
              <w:t>t</w:t>
            </w:r>
            <w:r w:rsidR="004C603F" w:rsidRPr="00CB216A">
              <w:rPr>
                <w:rFonts w:ascii="Times New Roman" w:hAnsi="Times New Roman" w:cs="Times New Roman"/>
                <w:color w:val="000000" w:themeColor="text1"/>
                <w:sz w:val="20"/>
                <w:szCs w:val="20"/>
                <w:lang w:val="en-US"/>
              </w:rPr>
              <w:t xml:space="preserve"> is the current stock price, and P</w:t>
            </w:r>
            <w:r w:rsidR="004C603F" w:rsidRPr="00CB216A">
              <w:rPr>
                <w:rFonts w:ascii="Times New Roman" w:hAnsi="Times New Roman" w:cs="Times New Roman"/>
                <w:color w:val="000000" w:themeColor="text1"/>
                <w:sz w:val="20"/>
                <w:szCs w:val="20"/>
                <w:vertAlign w:val="subscript"/>
                <w:lang w:val="en-US"/>
              </w:rPr>
              <w:t>t-1</w:t>
            </w:r>
            <w:r w:rsidR="004C603F" w:rsidRPr="00CB216A">
              <w:rPr>
                <w:rFonts w:ascii="Times New Roman" w:hAnsi="Times New Roman" w:cs="Times New Roman"/>
                <w:color w:val="000000" w:themeColor="text1"/>
                <w:sz w:val="20"/>
                <w:szCs w:val="20"/>
                <w:lang w:val="en-US"/>
              </w:rPr>
              <w:t xml:space="preserve"> is the last year stock price</w:t>
            </w:r>
            <w:r w:rsidRPr="00CB216A">
              <w:rPr>
                <w:rFonts w:ascii="Times New Roman" w:hAnsi="Times New Roman" w:cs="Times New Roman"/>
                <w:color w:val="000000" w:themeColor="text1"/>
                <w:sz w:val="20"/>
                <w:szCs w:val="20"/>
                <w:lang w:val="en-US"/>
              </w:rPr>
              <w:t>.</w:t>
            </w:r>
          </w:p>
        </w:tc>
        <w:tc>
          <w:tcPr>
            <w:tcW w:w="2380" w:type="dxa"/>
            <w:tcBorders>
              <w:top w:val="single" w:sz="4" w:space="0" w:color="auto"/>
              <w:bottom w:val="single" w:sz="4" w:space="0" w:color="auto"/>
            </w:tcBorders>
          </w:tcPr>
          <w:p w:rsidR="00CC46D9" w:rsidRPr="00CB216A" w:rsidRDefault="00CC46D9" w:rsidP="002513C1">
            <w:pPr>
              <w:shd w:val="clear" w:color="auto" w:fill="FFFFFF" w:themeFill="background1"/>
              <w:contextualSpacing/>
              <w:jc w:val="both"/>
              <w:rPr>
                <w:rFonts w:ascii="Times New Roman" w:hAnsi="Times New Roman" w:cs="Times New Roman"/>
                <w:color w:val="000000" w:themeColor="text1"/>
                <w:sz w:val="20"/>
                <w:szCs w:val="20"/>
                <w:lang w:val="en-US"/>
              </w:rPr>
            </w:pPr>
          </w:p>
          <w:p w:rsidR="00E04BDF" w:rsidRPr="00CB216A" w:rsidRDefault="0046403F" w:rsidP="002513C1">
            <w:pPr>
              <w:shd w:val="clear" w:color="auto" w:fill="FFFFFF" w:themeFill="background1"/>
              <w:contextualSpacing/>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 xml:space="preserve">Fakhruddin </w:t>
            </w:r>
            <w:r w:rsidRPr="00CB216A">
              <w:rPr>
                <w:rFonts w:ascii="Times New Roman" w:hAnsi="Times New Roman" w:cs="Times New Roman"/>
                <w:color w:val="000000" w:themeColor="text1"/>
                <w:sz w:val="20"/>
                <w:szCs w:val="20"/>
                <w:lang w:val="en-US"/>
              </w:rPr>
              <w:t>dan Sopian (2001</w:t>
            </w:r>
            <w:r w:rsidR="004C603F" w:rsidRPr="00CB216A">
              <w:rPr>
                <w:rFonts w:ascii="Times New Roman" w:hAnsi="Times New Roman" w:cs="Times New Roman"/>
                <w:color w:val="000000" w:themeColor="text1"/>
                <w:sz w:val="20"/>
                <w:szCs w:val="20"/>
                <w:lang w:val="en-US"/>
              </w:rPr>
              <w:t>)</w:t>
            </w:r>
            <w:r w:rsidRPr="00CB216A">
              <w:rPr>
                <w:rFonts w:ascii="Times New Roman" w:hAnsi="Times New Roman" w:cs="Times New Roman"/>
                <w:color w:val="000000" w:themeColor="text1"/>
                <w:sz w:val="20"/>
                <w:szCs w:val="20"/>
                <w:lang w:val="en-US"/>
              </w:rPr>
              <w:t xml:space="preserve"> </w:t>
            </w:r>
          </w:p>
          <w:p w:rsidR="00CC46D9" w:rsidRPr="00CB216A" w:rsidRDefault="0046403F" w:rsidP="002513C1">
            <w:pPr>
              <w:shd w:val="clear" w:color="auto" w:fill="FFFFFF" w:themeFill="background1"/>
              <w:contextualSpacing/>
              <w:jc w:val="center"/>
              <w:rPr>
                <w:rFonts w:ascii="Times New Roman" w:eastAsiaTheme="minorEastAsia"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Majid and Benazir (2015)</w:t>
            </w:r>
            <w:r w:rsidR="000C6D31" w:rsidRPr="00CB216A">
              <w:rPr>
                <w:rFonts w:ascii="Times New Roman" w:hAnsi="Times New Roman" w:cs="Times New Roman"/>
                <w:color w:val="000000" w:themeColor="text1"/>
                <w:sz w:val="20"/>
                <w:szCs w:val="20"/>
                <w:lang w:val="en-US"/>
              </w:rPr>
              <w:t>,</w:t>
            </w:r>
          </w:p>
        </w:tc>
      </w:tr>
      <w:tr w:rsidR="00A91EE8" w:rsidTr="000C6D31">
        <w:trPr>
          <w:trHeight w:val="20"/>
        </w:trPr>
        <w:tc>
          <w:tcPr>
            <w:tcW w:w="1620" w:type="dxa"/>
            <w:tcBorders>
              <w:top w:val="single" w:sz="4" w:space="0" w:color="auto"/>
              <w:bottom w:val="single" w:sz="4" w:space="0" w:color="auto"/>
            </w:tcBorders>
          </w:tcPr>
          <w:p w:rsidR="00CC46D9" w:rsidRPr="00CB216A" w:rsidRDefault="00CC46D9" w:rsidP="002513C1">
            <w:pPr>
              <w:shd w:val="clear" w:color="auto" w:fill="FFFFFF" w:themeFill="background1"/>
              <w:rPr>
                <w:rFonts w:ascii="Times New Roman" w:hAnsi="Times New Roman" w:cs="Times New Roman"/>
                <w:i/>
                <w:color w:val="000000" w:themeColor="text1"/>
                <w:sz w:val="20"/>
                <w:szCs w:val="20"/>
                <w:lang w:val="en-US"/>
              </w:rPr>
            </w:pP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eastAsiaTheme="minorEastAsia" w:hAnsi="Times New Roman" w:cs="Times New Roman"/>
                <w:color w:val="000000" w:themeColor="text1"/>
                <w:sz w:val="20"/>
                <w:szCs w:val="20"/>
                <w:lang w:val="en-US"/>
              </w:rPr>
              <w:t>Profitabilit</w:t>
            </w:r>
            <w:r w:rsidR="004C603F" w:rsidRPr="00CB216A">
              <w:rPr>
                <w:rFonts w:ascii="Times New Roman" w:eastAsiaTheme="minorEastAsia" w:hAnsi="Times New Roman" w:cs="Times New Roman"/>
                <w:color w:val="000000" w:themeColor="text1"/>
                <w:sz w:val="20"/>
                <w:szCs w:val="20"/>
                <w:lang w:val="en-US"/>
              </w:rPr>
              <w:t>y (PRO)</w:t>
            </w:r>
          </w:p>
        </w:tc>
        <w:tc>
          <w:tcPr>
            <w:tcW w:w="3969" w:type="dxa"/>
            <w:tcBorders>
              <w:top w:val="single" w:sz="4" w:space="0" w:color="auto"/>
              <w:bottom w:val="single" w:sz="4" w:space="0" w:color="auto"/>
            </w:tcBorders>
          </w:tcPr>
          <w:p w:rsidR="00CC46D9" w:rsidRPr="00CB216A" w:rsidRDefault="00CC46D9" w:rsidP="002513C1">
            <w:pPr>
              <w:shd w:val="clear" w:color="auto" w:fill="FFFFFF" w:themeFill="background1"/>
              <w:jc w:val="center"/>
              <w:rPr>
                <w:rFonts w:ascii="Times New Roman" w:hAnsi="Times New Roman" w:cs="Times New Roman"/>
                <w:color w:val="000000" w:themeColor="text1"/>
                <w:sz w:val="12"/>
                <w:szCs w:val="12"/>
                <w:lang w:val="en-US"/>
              </w:rPr>
            </w:pP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ROE =</w:t>
            </w:r>
            <m:oMath>
              <m:r>
                <w:rPr>
                  <w:rFonts w:ascii="Cambria Math" w:hAnsi="Times New Roman" w:cs="Times New Roman"/>
                  <w:color w:val="000000" w:themeColor="text1"/>
                  <w:sz w:val="20"/>
                  <w:szCs w:val="20"/>
                  <w:lang w:val="en-US"/>
                </w:rPr>
                <m:t xml:space="preserve">   </m:t>
              </m:r>
              <m:f>
                <m:fPr>
                  <m:ctrlPr>
                    <w:rPr>
                      <w:rFonts w:ascii="Cambria Math" w:hAnsi="Times New Roman" w:cs="Times New Roman"/>
                      <w:color w:val="000000" w:themeColor="text1"/>
                      <w:sz w:val="20"/>
                      <w:szCs w:val="20"/>
                      <w:lang w:val="en-US"/>
                    </w:rPr>
                  </m:ctrlPr>
                </m:fPr>
                <m:num>
                  <m:r>
                    <m:rPr>
                      <m:sty m:val="p"/>
                    </m:rPr>
                    <w:rPr>
                      <w:rFonts w:ascii="Cambria Math" w:hAnsi="Times New Roman" w:cs="Times New Roman"/>
                      <w:color w:val="000000" w:themeColor="text1"/>
                      <w:sz w:val="20"/>
                      <w:szCs w:val="20"/>
                      <w:lang w:val="en-US"/>
                    </w:rPr>
                    <m:t>Net Profit</m:t>
                  </m:r>
                </m:num>
                <m:den>
                  <m:r>
                    <m:rPr>
                      <m:sty m:val="p"/>
                    </m:rPr>
                    <w:rPr>
                      <w:rFonts w:ascii="Cambria Math" w:hAnsi="Times New Roman" w:cs="Times New Roman"/>
                      <w:color w:val="000000" w:themeColor="text1"/>
                      <w:sz w:val="20"/>
                      <w:szCs w:val="20"/>
                      <w:lang w:val="en-US"/>
                    </w:rPr>
                    <m:t>Equity</m:t>
                  </m:r>
                </m:den>
              </m:f>
            </m:oMath>
          </w:p>
          <w:p w:rsidR="004C603F" w:rsidRPr="00CB216A" w:rsidRDefault="004C603F" w:rsidP="002513C1">
            <w:pPr>
              <w:shd w:val="clear" w:color="auto" w:fill="FFFFFF" w:themeFill="background1"/>
              <w:rPr>
                <w:rFonts w:ascii="Times New Roman" w:hAnsi="Times New Roman" w:cs="Times New Roman"/>
                <w:color w:val="000000" w:themeColor="text1"/>
                <w:sz w:val="12"/>
                <w:szCs w:val="12"/>
                <w:lang w:val="en-US"/>
              </w:rPr>
            </w:pPr>
          </w:p>
          <w:p w:rsidR="00CC46D9" w:rsidRPr="00CB216A" w:rsidRDefault="0046403F" w:rsidP="002513C1">
            <w:pPr>
              <w:shd w:val="clear" w:color="auto" w:fill="FFFFFF" w:themeFill="background1"/>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 xml:space="preserve">where </w:t>
            </w:r>
            <w:r w:rsidR="004C603F" w:rsidRPr="00CB216A">
              <w:rPr>
                <w:rFonts w:ascii="Times New Roman" w:hAnsi="Times New Roman" w:cs="Times New Roman"/>
                <w:color w:val="000000" w:themeColor="text1"/>
                <w:sz w:val="20"/>
                <w:szCs w:val="20"/>
                <w:lang w:val="en-US"/>
              </w:rPr>
              <w:t xml:space="preserve">ROE is the Return on Equity </w:t>
            </w:r>
          </w:p>
        </w:tc>
        <w:tc>
          <w:tcPr>
            <w:tcW w:w="2380" w:type="dxa"/>
            <w:tcBorders>
              <w:top w:val="single" w:sz="4" w:space="0" w:color="auto"/>
              <w:bottom w:val="single" w:sz="4" w:space="0" w:color="auto"/>
            </w:tcBorders>
          </w:tcPr>
          <w:p w:rsidR="00CC46D9" w:rsidRPr="00CB216A" w:rsidRDefault="00CC46D9" w:rsidP="002513C1">
            <w:pPr>
              <w:shd w:val="clear" w:color="auto" w:fill="FFFFFF" w:themeFill="background1"/>
              <w:jc w:val="center"/>
              <w:rPr>
                <w:rFonts w:ascii="Times New Roman" w:hAnsi="Times New Roman" w:cs="Times New Roman"/>
                <w:color w:val="000000" w:themeColor="text1"/>
                <w:sz w:val="20"/>
                <w:szCs w:val="20"/>
                <w:lang w:val="en-US"/>
              </w:rPr>
            </w:pP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Brigham and Houston</w:t>
            </w:r>
            <w:r w:rsidR="004C603F" w:rsidRPr="00CB216A">
              <w:rPr>
                <w:rFonts w:ascii="Times New Roman" w:hAnsi="Times New Roman" w:cs="Times New Roman"/>
                <w:color w:val="000000" w:themeColor="text1"/>
                <w:sz w:val="20"/>
                <w:szCs w:val="20"/>
                <w:lang w:val="en-US"/>
              </w:rPr>
              <w:t xml:space="preserve"> (</w:t>
            </w:r>
            <w:r w:rsidRPr="00CB216A">
              <w:rPr>
                <w:rFonts w:ascii="Times New Roman" w:hAnsi="Times New Roman" w:cs="Times New Roman"/>
                <w:color w:val="000000" w:themeColor="text1"/>
                <w:sz w:val="20"/>
                <w:szCs w:val="20"/>
                <w:lang w:val="en-US"/>
              </w:rPr>
              <w:t>2015).</w:t>
            </w:r>
          </w:p>
        </w:tc>
      </w:tr>
      <w:tr w:rsidR="00A91EE8" w:rsidTr="000C6D31">
        <w:trPr>
          <w:trHeight w:val="20"/>
        </w:trPr>
        <w:tc>
          <w:tcPr>
            <w:tcW w:w="1620" w:type="dxa"/>
            <w:tcBorders>
              <w:top w:val="single" w:sz="4" w:space="0" w:color="auto"/>
              <w:bottom w:val="single" w:sz="4" w:space="0" w:color="auto"/>
            </w:tcBorders>
          </w:tcPr>
          <w:p w:rsidR="000C6D31" w:rsidRPr="00CB216A" w:rsidRDefault="000C6D31" w:rsidP="002513C1">
            <w:pPr>
              <w:shd w:val="clear" w:color="auto" w:fill="FFFFFF" w:themeFill="background1"/>
              <w:jc w:val="center"/>
              <w:rPr>
                <w:rFonts w:ascii="Times New Roman" w:hAnsi="Times New Roman" w:cs="Times New Roman"/>
                <w:color w:val="000000" w:themeColor="text1"/>
                <w:sz w:val="20"/>
                <w:szCs w:val="20"/>
                <w:lang w:val="en-US"/>
              </w:rPr>
            </w:pPr>
          </w:p>
          <w:p w:rsidR="000C6D31"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Liquidity</w:t>
            </w:r>
            <w:r w:rsidR="004C603F" w:rsidRPr="00CB216A">
              <w:rPr>
                <w:rFonts w:ascii="Times New Roman" w:hAnsi="Times New Roman" w:cs="Times New Roman"/>
                <w:color w:val="000000" w:themeColor="text1"/>
                <w:sz w:val="20"/>
                <w:szCs w:val="20"/>
                <w:lang w:val="en-US"/>
              </w:rPr>
              <w:t xml:space="preserve"> </w:t>
            </w: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 xml:space="preserve">(LIQ) </w:t>
            </w:r>
          </w:p>
        </w:tc>
        <w:tc>
          <w:tcPr>
            <w:tcW w:w="3969" w:type="dxa"/>
            <w:tcBorders>
              <w:top w:val="single" w:sz="4" w:space="0" w:color="auto"/>
              <w:bottom w:val="single" w:sz="4" w:space="0" w:color="auto"/>
            </w:tcBorders>
          </w:tcPr>
          <w:p w:rsidR="00CC46D9" w:rsidRPr="00CB216A" w:rsidRDefault="00CC46D9" w:rsidP="002513C1">
            <w:pPr>
              <w:shd w:val="clear" w:color="auto" w:fill="FFFFFF" w:themeFill="background1"/>
              <w:jc w:val="both"/>
              <w:rPr>
                <w:rFonts w:ascii="Times New Roman" w:eastAsiaTheme="minorEastAsia" w:hAnsi="Times New Roman" w:cs="Times New Roman"/>
                <w:color w:val="000000" w:themeColor="text1"/>
                <w:sz w:val="12"/>
                <w:szCs w:val="12"/>
                <w:lang w:val="en-US"/>
              </w:rPr>
            </w:pPr>
          </w:p>
          <w:p w:rsidR="00CC46D9" w:rsidRPr="00CB216A" w:rsidRDefault="0046403F" w:rsidP="002513C1">
            <w:pPr>
              <w:shd w:val="clear" w:color="auto" w:fill="FFFFFF" w:themeFill="background1"/>
              <w:jc w:val="center"/>
              <w:rPr>
                <w:rFonts w:ascii="Times New Roman" w:eastAsiaTheme="minorEastAsia"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CR =</w:t>
            </w:r>
            <m:oMath>
              <m:r>
                <w:rPr>
                  <w:rFonts w:ascii="Cambria Math" w:hAnsi="Cambria Math" w:cs="Times New Roman"/>
                  <w:color w:val="000000" w:themeColor="text1"/>
                  <w:sz w:val="20"/>
                  <w:szCs w:val="20"/>
                  <w:lang w:val="en-US"/>
                </w:rPr>
                <m:t xml:space="preserve">   </m:t>
              </m:r>
              <m:f>
                <m:fPr>
                  <m:ctrlPr>
                    <w:rPr>
                      <w:rFonts w:ascii="Cambria Math" w:hAnsi="Times New Roman" w:cs="Times New Roman"/>
                      <w:color w:val="000000" w:themeColor="text1"/>
                      <w:sz w:val="20"/>
                      <w:szCs w:val="20"/>
                      <w:lang w:val="en-US"/>
                    </w:rPr>
                  </m:ctrlPr>
                </m:fPr>
                <m:num>
                  <m:r>
                    <m:rPr>
                      <m:sty m:val="p"/>
                    </m:rPr>
                    <w:rPr>
                      <w:rFonts w:ascii="Cambria Math" w:hAnsi="Cambria Math" w:cs="Times New Roman"/>
                      <w:color w:val="000000" w:themeColor="text1"/>
                      <w:sz w:val="20"/>
                      <w:szCs w:val="20"/>
                      <w:lang w:val="en-US"/>
                    </w:rPr>
                    <m:t>Current Assets</m:t>
                  </m:r>
                </m:num>
                <m:den>
                  <m:r>
                    <m:rPr>
                      <m:sty m:val="p"/>
                    </m:rPr>
                    <w:rPr>
                      <w:rFonts w:ascii="Cambria Math" w:hAnsi="Cambria Math" w:cs="Times New Roman"/>
                      <w:color w:val="000000" w:themeColor="text1"/>
                      <w:sz w:val="20"/>
                      <w:szCs w:val="20"/>
                      <w:lang w:val="en-US"/>
                    </w:rPr>
                    <m:t>Current Liability</m:t>
                  </m:r>
                </m:den>
              </m:f>
            </m:oMath>
          </w:p>
          <w:p w:rsidR="004C603F" w:rsidRPr="00CB216A" w:rsidRDefault="004C603F" w:rsidP="002513C1">
            <w:pPr>
              <w:shd w:val="clear" w:color="auto" w:fill="FFFFFF" w:themeFill="background1"/>
              <w:jc w:val="center"/>
              <w:rPr>
                <w:rFonts w:ascii="Times New Roman" w:eastAsiaTheme="minorEastAsia" w:hAnsi="Times New Roman" w:cs="Times New Roman"/>
                <w:color w:val="000000" w:themeColor="text1"/>
                <w:sz w:val="12"/>
                <w:szCs w:val="12"/>
                <w:lang w:val="en-US"/>
              </w:rPr>
            </w:pPr>
          </w:p>
          <w:p w:rsidR="004C603F" w:rsidRPr="00CB216A" w:rsidRDefault="0046403F" w:rsidP="002513C1">
            <w:pPr>
              <w:shd w:val="clear" w:color="auto" w:fill="FFFFFF" w:themeFill="background1"/>
              <w:rPr>
                <w:rFonts w:ascii="Times New Roman" w:hAnsi="Times New Roman" w:cs="Times New Roman"/>
                <w:color w:val="000000" w:themeColor="text1"/>
                <w:sz w:val="20"/>
                <w:szCs w:val="20"/>
                <w:lang w:val="en-US"/>
              </w:rPr>
            </w:pPr>
            <w:r w:rsidRPr="00CB216A">
              <w:rPr>
                <w:rFonts w:ascii="Times New Roman" w:eastAsiaTheme="minorEastAsia" w:hAnsi="Times New Roman" w:cs="Times New Roman"/>
                <w:color w:val="000000" w:themeColor="text1"/>
                <w:sz w:val="20"/>
                <w:szCs w:val="20"/>
                <w:lang w:val="en-US"/>
              </w:rPr>
              <w:t>where CR is the Current Ratio</w:t>
            </w:r>
          </w:p>
        </w:tc>
        <w:tc>
          <w:tcPr>
            <w:tcW w:w="2380" w:type="dxa"/>
            <w:tcBorders>
              <w:top w:val="single" w:sz="4" w:space="0" w:color="auto"/>
              <w:bottom w:val="single" w:sz="4" w:space="0" w:color="auto"/>
            </w:tcBorders>
          </w:tcPr>
          <w:p w:rsidR="00CC46D9" w:rsidRPr="00CB216A" w:rsidRDefault="00CC46D9" w:rsidP="002513C1">
            <w:pPr>
              <w:shd w:val="clear" w:color="auto" w:fill="FFFFFF" w:themeFill="background1"/>
              <w:jc w:val="both"/>
              <w:rPr>
                <w:rFonts w:ascii="Times New Roman" w:hAnsi="Times New Roman" w:cs="Times New Roman"/>
                <w:color w:val="000000" w:themeColor="text1"/>
                <w:sz w:val="20"/>
                <w:szCs w:val="20"/>
                <w:lang w:val="en-US"/>
              </w:rPr>
            </w:pPr>
          </w:p>
          <w:p w:rsidR="00CC46D9" w:rsidRPr="00CB216A" w:rsidRDefault="0046403F" w:rsidP="002513C1">
            <w:pPr>
              <w:shd w:val="clear" w:color="auto" w:fill="FFFFFF" w:themeFill="background1"/>
              <w:jc w:val="center"/>
              <w:rPr>
                <w:rFonts w:ascii="Times New Roman" w:hAnsi="Times New Roman" w:cs="Times New Roman"/>
                <w:sz w:val="20"/>
                <w:szCs w:val="20"/>
                <w:lang w:val="en-US"/>
              </w:rPr>
            </w:pPr>
            <w:r w:rsidRPr="00CB216A">
              <w:rPr>
                <w:rFonts w:ascii="Times New Roman" w:hAnsi="Times New Roman" w:cs="Times New Roman"/>
                <w:color w:val="000000" w:themeColor="text1"/>
                <w:sz w:val="20"/>
                <w:szCs w:val="20"/>
                <w:lang w:val="en-US"/>
              </w:rPr>
              <w:t xml:space="preserve">Brigham </w:t>
            </w:r>
            <w:r w:rsidR="000C6D31" w:rsidRPr="00CB216A">
              <w:rPr>
                <w:rFonts w:ascii="Times New Roman" w:hAnsi="Times New Roman" w:cs="Times New Roman"/>
                <w:color w:val="000000" w:themeColor="text1"/>
                <w:sz w:val="20"/>
                <w:szCs w:val="20"/>
                <w:lang w:val="en-US"/>
              </w:rPr>
              <w:t>and</w:t>
            </w:r>
            <w:r w:rsidRPr="00CB216A">
              <w:rPr>
                <w:rFonts w:ascii="Times New Roman" w:hAnsi="Times New Roman" w:cs="Times New Roman"/>
                <w:color w:val="000000" w:themeColor="text1"/>
                <w:sz w:val="20"/>
                <w:szCs w:val="20"/>
                <w:lang w:val="en-US"/>
              </w:rPr>
              <w:t xml:space="preserve"> Houston, (2015)</w:t>
            </w:r>
            <w:r w:rsidR="000C6D31" w:rsidRPr="00CB216A">
              <w:rPr>
                <w:rFonts w:ascii="Times New Roman" w:hAnsi="Times New Roman" w:cs="Times New Roman"/>
                <w:color w:val="000000" w:themeColor="text1"/>
                <w:sz w:val="20"/>
                <w:szCs w:val="20"/>
                <w:lang w:val="en-US"/>
              </w:rPr>
              <w:t>.</w:t>
            </w:r>
          </w:p>
        </w:tc>
      </w:tr>
      <w:tr w:rsidR="00A91EE8" w:rsidTr="000C6D31">
        <w:trPr>
          <w:trHeight w:val="20"/>
        </w:trPr>
        <w:tc>
          <w:tcPr>
            <w:tcW w:w="1620" w:type="dxa"/>
            <w:tcBorders>
              <w:top w:val="single" w:sz="4" w:space="0" w:color="auto"/>
              <w:bottom w:val="single" w:sz="4" w:space="0" w:color="auto"/>
            </w:tcBorders>
          </w:tcPr>
          <w:p w:rsidR="000C6D31" w:rsidRPr="00CB216A" w:rsidRDefault="000C6D31" w:rsidP="002513C1">
            <w:pPr>
              <w:shd w:val="clear" w:color="auto" w:fill="FFFFFF" w:themeFill="background1"/>
              <w:jc w:val="center"/>
              <w:rPr>
                <w:rFonts w:ascii="Times New Roman" w:hAnsi="Times New Roman" w:cs="Times New Roman"/>
                <w:color w:val="000000" w:themeColor="text1"/>
                <w:sz w:val="20"/>
                <w:szCs w:val="20"/>
                <w:lang w:val="en-US"/>
              </w:rPr>
            </w:pPr>
          </w:p>
          <w:p w:rsidR="009C4504"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Solvency</w:t>
            </w: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 xml:space="preserve"> (SOL)</w:t>
            </w:r>
          </w:p>
        </w:tc>
        <w:tc>
          <w:tcPr>
            <w:tcW w:w="3969" w:type="dxa"/>
            <w:tcBorders>
              <w:top w:val="single" w:sz="4" w:space="0" w:color="auto"/>
              <w:bottom w:val="single" w:sz="4" w:space="0" w:color="auto"/>
            </w:tcBorders>
          </w:tcPr>
          <w:p w:rsidR="00CC46D9" w:rsidRPr="00CB216A" w:rsidRDefault="00CC46D9" w:rsidP="002513C1">
            <w:pPr>
              <w:shd w:val="clear" w:color="auto" w:fill="FFFFFF" w:themeFill="background1"/>
              <w:jc w:val="both"/>
              <w:rPr>
                <w:rFonts w:ascii="Times New Roman" w:hAnsi="Times New Roman" w:cs="Times New Roman"/>
                <w:color w:val="000000" w:themeColor="text1"/>
                <w:sz w:val="12"/>
                <w:szCs w:val="12"/>
                <w:lang w:val="en-US"/>
              </w:rPr>
            </w:pPr>
          </w:p>
          <w:p w:rsidR="00CC46D9" w:rsidRPr="00CB216A" w:rsidRDefault="0046403F" w:rsidP="002513C1">
            <w:pPr>
              <w:shd w:val="clear" w:color="auto" w:fill="FFFFFF" w:themeFill="background1"/>
              <w:jc w:val="center"/>
              <w:rPr>
                <w:rFonts w:ascii="Times New Roman" w:eastAsiaTheme="minorEastAsia"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DER =</w:t>
            </w:r>
            <m:oMath>
              <m:r>
                <m:rPr>
                  <m:sty m:val="p"/>
                </m:rPr>
                <w:rPr>
                  <w:rFonts w:ascii="Cambria Math" w:hAnsi="Times New Roman" w:cs="Times New Roman"/>
                  <w:color w:val="000000" w:themeColor="text1"/>
                  <w:sz w:val="20"/>
                  <w:szCs w:val="20"/>
                  <w:lang w:val="en-US"/>
                </w:rPr>
                <m:t xml:space="preserve">   </m:t>
              </m:r>
              <m:f>
                <m:fPr>
                  <m:ctrlPr>
                    <w:rPr>
                      <w:rFonts w:ascii="Cambria Math" w:hAnsi="Times New Roman" w:cs="Times New Roman"/>
                      <w:color w:val="000000" w:themeColor="text1"/>
                      <w:sz w:val="20"/>
                      <w:szCs w:val="20"/>
                      <w:lang w:val="en-US"/>
                    </w:rPr>
                  </m:ctrlPr>
                </m:fPr>
                <m:num>
                  <m:r>
                    <m:rPr>
                      <m:sty m:val="p"/>
                    </m:rPr>
                    <w:rPr>
                      <w:rFonts w:ascii="Cambria Math" w:hAnsi="Cambria Math" w:cs="Times New Roman"/>
                      <w:color w:val="000000" w:themeColor="text1"/>
                      <w:sz w:val="20"/>
                      <w:szCs w:val="20"/>
                      <w:lang w:val="en-US"/>
                    </w:rPr>
                    <m:t>Total Liability</m:t>
                  </m:r>
                </m:num>
                <m:den>
                  <m:r>
                    <m:rPr>
                      <m:sty m:val="p"/>
                    </m:rPr>
                    <w:rPr>
                      <w:rFonts w:ascii="Cambria Math" w:hAnsi="Times New Roman" w:cs="Times New Roman"/>
                      <w:color w:val="000000" w:themeColor="text1"/>
                      <w:sz w:val="20"/>
                      <w:szCs w:val="20"/>
                      <w:lang w:val="en-US"/>
                    </w:rPr>
                    <m:t xml:space="preserve">Total Equity </m:t>
                  </m:r>
                </m:den>
              </m:f>
            </m:oMath>
          </w:p>
          <w:p w:rsidR="001F3C82" w:rsidRPr="00CB216A" w:rsidRDefault="001F3C82" w:rsidP="002513C1">
            <w:pPr>
              <w:shd w:val="clear" w:color="auto" w:fill="FFFFFF" w:themeFill="background1"/>
              <w:jc w:val="center"/>
              <w:rPr>
                <w:rFonts w:ascii="Times New Roman" w:eastAsiaTheme="minorEastAsia" w:hAnsi="Times New Roman" w:cs="Times New Roman"/>
                <w:color w:val="000000" w:themeColor="text1"/>
                <w:sz w:val="12"/>
                <w:szCs w:val="12"/>
                <w:lang w:val="en-US"/>
              </w:rPr>
            </w:pPr>
          </w:p>
          <w:p w:rsidR="00E04BDF" w:rsidRPr="00CB216A" w:rsidRDefault="0046403F" w:rsidP="002513C1">
            <w:pPr>
              <w:shd w:val="clear" w:color="auto" w:fill="FFFFFF" w:themeFill="background1"/>
              <w:rPr>
                <w:rFonts w:ascii="Times New Roman" w:hAnsi="Times New Roman" w:cs="Times New Roman"/>
                <w:color w:val="000000" w:themeColor="text1"/>
                <w:sz w:val="20"/>
                <w:szCs w:val="20"/>
                <w:lang w:val="en-US"/>
              </w:rPr>
            </w:pPr>
            <w:r w:rsidRPr="00CB216A">
              <w:rPr>
                <w:rFonts w:ascii="Times New Roman" w:eastAsiaTheme="minorEastAsia" w:hAnsi="Times New Roman" w:cs="Times New Roman"/>
                <w:color w:val="000000" w:themeColor="text1"/>
                <w:sz w:val="20"/>
                <w:szCs w:val="20"/>
                <w:lang w:val="en-US"/>
              </w:rPr>
              <w:t>where DER is the Debt to Equity Ratio</w:t>
            </w:r>
          </w:p>
        </w:tc>
        <w:tc>
          <w:tcPr>
            <w:tcW w:w="2380" w:type="dxa"/>
            <w:tcBorders>
              <w:top w:val="single" w:sz="4" w:space="0" w:color="auto"/>
              <w:bottom w:val="single" w:sz="4" w:space="0" w:color="auto"/>
            </w:tcBorders>
          </w:tcPr>
          <w:p w:rsidR="00CC46D9" w:rsidRPr="00CB216A" w:rsidRDefault="00CC46D9" w:rsidP="002513C1">
            <w:pPr>
              <w:shd w:val="clear" w:color="auto" w:fill="FFFFFF" w:themeFill="background1"/>
              <w:jc w:val="center"/>
              <w:rPr>
                <w:rFonts w:ascii="Times New Roman" w:hAnsi="Times New Roman" w:cs="Times New Roman"/>
                <w:color w:val="000000" w:themeColor="text1"/>
                <w:sz w:val="20"/>
                <w:szCs w:val="20"/>
                <w:lang w:val="en-US"/>
              </w:rPr>
            </w:pP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 xml:space="preserve">Brigham </w:t>
            </w:r>
            <w:r w:rsidR="000C6D31" w:rsidRPr="00CB216A">
              <w:rPr>
                <w:rFonts w:ascii="Times New Roman" w:hAnsi="Times New Roman" w:cs="Times New Roman"/>
                <w:color w:val="000000" w:themeColor="text1"/>
                <w:sz w:val="20"/>
                <w:szCs w:val="20"/>
                <w:lang w:val="en-US"/>
              </w:rPr>
              <w:t>and</w:t>
            </w:r>
            <w:r w:rsidRPr="00CB216A">
              <w:rPr>
                <w:rFonts w:ascii="Times New Roman" w:hAnsi="Times New Roman" w:cs="Times New Roman"/>
                <w:color w:val="000000" w:themeColor="text1"/>
                <w:sz w:val="20"/>
                <w:szCs w:val="20"/>
                <w:lang w:val="en-US"/>
              </w:rPr>
              <w:t xml:space="preserve"> Houston, (2015)</w:t>
            </w:r>
            <w:r w:rsidR="000C6D31" w:rsidRPr="00CB216A">
              <w:rPr>
                <w:rFonts w:ascii="Times New Roman" w:hAnsi="Times New Roman" w:cs="Times New Roman"/>
                <w:color w:val="000000" w:themeColor="text1"/>
                <w:sz w:val="20"/>
                <w:szCs w:val="20"/>
                <w:lang w:val="en-US"/>
              </w:rPr>
              <w:t>.</w:t>
            </w:r>
          </w:p>
        </w:tc>
      </w:tr>
      <w:tr w:rsidR="00A91EE8" w:rsidTr="000C6D31">
        <w:trPr>
          <w:trHeight w:val="20"/>
        </w:trPr>
        <w:tc>
          <w:tcPr>
            <w:tcW w:w="1620" w:type="dxa"/>
            <w:tcBorders>
              <w:top w:val="single" w:sz="4" w:space="0" w:color="auto"/>
            </w:tcBorders>
          </w:tcPr>
          <w:p w:rsidR="006D6F54" w:rsidRPr="00CB216A" w:rsidRDefault="006D6F54" w:rsidP="002513C1">
            <w:pPr>
              <w:shd w:val="clear" w:color="auto" w:fill="FFFFFF" w:themeFill="background1"/>
              <w:jc w:val="center"/>
              <w:rPr>
                <w:rFonts w:ascii="Times New Roman" w:eastAsiaTheme="minorEastAsia" w:hAnsi="Times New Roman" w:cs="Times New Roman"/>
                <w:color w:val="000000" w:themeColor="text1"/>
                <w:sz w:val="12"/>
                <w:szCs w:val="12"/>
                <w:lang w:val="en-US"/>
              </w:rPr>
            </w:pP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eastAsiaTheme="minorEastAsia" w:hAnsi="Times New Roman" w:cs="Times New Roman"/>
                <w:color w:val="000000" w:themeColor="text1"/>
                <w:sz w:val="20"/>
                <w:szCs w:val="20"/>
                <w:lang w:val="en-US"/>
              </w:rPr>
              <w:t>Firm Size (F</w:t>
            </w:r>
            <w:r w:rsidR="000C6D31" w:rsidRPr="00CB216A">
              <w:rPr>
                <w:rFonts w:ascii="Times New Roman" w:eastAsiaTheme="minorEastAsia" w:hAnsi="Times New Roman" w:cs="Times New Roman"/>
                <w:color w:val="000000" w:themeColor="text1"/>
                <w:sz w:val="20"/>
                <w:szCs w:val="20"/>
                <w:lang w:val="en-US"/>
              </w:rPr>
              <w:t>S</w:t>
            </w:r>
            <w:r w:rsidR="004C603F" w:rsidRPr="00CB216A">
              <w:rPr>
                <w:rFonts w:ascii="Times New Roman" w:eastAsiaTheme="minorEastAsia" w:hAnsi="Times New Roman" w:cs="Times New Roman"/>
                <w:color w:val="000000" w:themeColor="text1"/>
                <w:sz w:val="20"/>
                <w:szCs w:val="20"/>
                <w:lang w:val="en-US"/>
              </w:rPr>
              <w:t>Z)</w:t>
            </w:r>
          </w:p>
        </w:tc>
        <w:tc>
          <w:tcPr>
            <w:tcW w:w="3969" w:type="dxa"/>
            <w:tcBorders>
              <w:top w:val="single" w:sz="4" w:space="0" w:color="auto"/>
            </w:tcBorders>
          </w:tcPr>
          <w:p w:rsidR="006D6F54" w:rsidRPr="00CB216A" w:rsidRDefault="006D6F54" w:rsidP="002513C1">
            <w:pPr>
              <w:shd w:val="clear" w:color="auto" w:fill="FFFFFF" w:themeFill="background1"/>
              <w:jc w:val="center"/>
              <w:rPr>
                <w:rFonts w:ascii="Times New Roman" w:hAnsi="Times New Roman" w:cs="Times New Roman"/>
                <w:color w:val="000000" w:themeColor="text1"/>
                <w:sz w:val="12"/>
                <w:szCs w:val="12"/>
                <w:lang w:val="en-US"/>
              </w:rPr>
            </w:pP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Natural logarithm on total asset</w:t>
            </w:r>
          </w:p>
        </w:tc>
        <w:tc>
          <w:tcPr>
            <w:tcW w:w="2380" w:type="dxa"/>
            <w:tcBorders>
              <w:top w:val="single" w:sz="4" w:space="0" w:color="auto"/>
            </w:tcBorders>
          </w:tcPr>
          <w:p w:rsidR="006D6F54" w:rsidRPr="00CB216A" w:rsidRDefault="006D6F54" w:rsidP="002513C1">
            <w:pPr>
              <w:shd w:val="clear" w:color="auto" w:fill="FFFFFF" w:themeFill="background1"/>
              <w:jc w:val="center"/>
              <w:rPr>
                <w:rFonts w:ascii="Times New Roman" w:hAnsi="Times New Roman" w:cs="Times New Roman"/>
                <w:color w:val="000000" w:themeColor="text1"/>
                <w:sz w:val="12"/>
                <w:szCs w:val="12"/>
                <w:lang w:val="en-US"/>
              </w:rPr>
            </w:pPr>
          </w:p>
          <w:p w:rsidR="00CC46D9" w:rsidRPr="00CB216A" w:rsidRDefault="0046403F" w:rsidP="002513C1">
            <w:pPr>
              <w:shd w:val="clear" w:color="auto" w:fill="FFFFFF" w:themeFill="background1"/>
              <w:jc w:val="center"/>
              <w:rPr>
                <w:rFonts w:ascii="Times New Roman" w:hAnsi="Times New Roman" w:cs="Times New Roman"/>
                <w:color w:val="000000" w:themeColor="text1"/>
                <w:sz w:val="20"/>
                <w:szCs w:val="20"/>
                <w:lang w:val="en-US"/>
              </w:rPr>
            </w:pPr>
            <w:r w:rsidRPr="00CB216A">
              <w:rPr>
                <w:rFonts w:ascii="Times New Roman" w:hAnsi="Times New Roman" w:cs="Times New Roman"/>
                <w:color w:val="000000" w:themeColor="text1"/>
                <w:sz w:val="20"/>
                <w:szCs w:val="20"/>
                <w:lang w:val="en-US"/>
              </w:rPr>
              <w:t>(</w:t>
            </w:r>
            <w:r w:rsidR="001F3C82" w:rsidRPr="00CB216A">
              <w:rPr>
                <w:rFonts w:ascii="Times New Roman" w:hAnsi="Times New Roman" w:cs="Times New Roman"/>
                <w:color w:val="000000" w:themeColor="text1"/>
                <w:sz w:val="20"/>
                <w:szCs w:val="20"/>
                <w:lang w:val="en-US"/>
              </w:rPr>
              <w:t xml:space="preserve"> Belz et al.,</w:t>
            </w:r>
            <w:r w:rsidRPr="00CB216A">
              <w:rPr>
                <w:rFonts w:ascii="Times New Roman" w:hAnsi="Times New Roman" w:cs="Times New Roman"/>
                <w:color w:val="000000" w:themeColor="text1"/>
                <w:sz w:val="20"/>
                <w:szCs w:val="20"/>
                <w:lang w:val="en-US"/>
              </w:rPr>
              <w:t xml:space="preserve"> 2018).</w:t>
            </w:r>
          </w:p>
          <w:p w:rsidR="000C6D31" w:rsidRPr="00CB216A" w:rsidRDefault="000C6D31" w:rsidP="002513C1">
            <w:pPr>
              <w:shd w:val="clear" w:color="auto" w:fill="FFFFFF" w:themeFill="background1"/>
              <w:jc w:val="center"/>
              <w:rPr>
                <w:rFonts w:ascii="Times New Roman" w:hAnsi="Times New Roman" w:cs="Times New Roman"/>
                <w:color w:val="000000" w:themeColor="text1"/>
                <w:sz w:val="12"/>
                <w:szCs w:val="12"/>
                <w:lang w:val="en-US"/>
              </w:rPr>
            </w:pPr>
          </w:p>
        </w:tc>
      </w:tr>
    </w:tbl>
    <w:p w:rsidR="009C4504" w:rsidRPr="00CB216A" w:rsidRDefault="0046403F" w:rsidP="009C4504">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eastAsia="Times New Roman" w:hAnsi="Times New Roman" w:cs="Times New Roman"/>
          <w:color w:val="222222"/>
          <w:sz w:val="24"/>
          <w:szCs w:val="24"/>
          <w:lang w:val="en-US"/>
        </w:rPr>
        <w:t>As stated earlier,</w:t>
      </w:r>
      <w:r w:rsidRPr="00CB216A">
        <w:rPr>
          <w:rFonts w:ascii="Times New Roman" w:eastAsia="Times New Roman" w:hAnsi="Times New Roman" w:cs="Times New Roman"/>
          <w:b/>
          <w:color w:val="222222"/>
          <w:sz w:val="24"/>
          <w:szCs w:val="24"/>
          <w:lang w:val="en-US"/>
        </w:rPr>
        <w:t xml:space="preserve"> </w:t>
      </w:r>
      <w:r w:rsidRPr="00CB216A">
        <w:rPr>
          <w:rFonts w:ascii="Times New Roman" w:eastAsia="Times New Roman" w:hAnsi="Times New Roman" w:cs="Times New Roman"/>
          <w:color w:val="222222"/>
          <w:sz w:val="24"/>
          <w:szCs w:val="24"/>
          <w:lang w:val="en-US"/>
        </w:rPr>
        <w:t xml:space="preserve">this study intends to explore and analyze the effects of four independent variables (i.e., profitability, liquidity, solvency, and company </w:t>
      </w:r>
      <w:r w:rsidRPr="00CB216A">
        <w:rPr>
          <w:rFonts w:ascii="Times New Roman" w:eastAsia="Times New Roman" w:hAnsi="Times New Roman" w:cs="Times New Roman"/>
          <w:color w:val="222222"/>
          <w:sz w:val="24"/>
          <w:szCs w:val="24"/>
          <w:lang w:val="en-US"/>
        </w:rPr>
        <w:lastRenderedPageBreak/>
        <w:t xml:space="preserve">size) on one dependent variable (i.e., Islamic stock returns) in Indonesia. The measurements of the variables are </w:t>
      </w:r>
      <w:r w:rsidR="00CB216A" w:rsidRPr="00CB216A">
        <w:rPr>
          <w:rFonts w:ascii="Times New Roman" w:eastAsia="Times New Roman" w:hAnsi="Times New Roman" w:cs="Times New Roman"/>
          <w:color w:val="222222"/>
          <w:sz w:val="24"/>
          <w:szCs w:val="24"/>
          <w:lang w:val="en-US"/>
        </w:rPr>
        <w:t>illustrated</w:t>
      </w:r>
      <w:r w:rsidRPr="00CB216A">
        <w:rPr>
          <w:rFonts w:ascii="Times New Roman" w:eastAsia="Times New Roman" w:hAnsi="Times New Roman" w:cs="Times New Roman"/>
          <w:color w:val="222222"/>
          <w:sz w:val="24"/>
          <w:szCs w:val="24"/>
          <w:lang w:val="en-US"/>
        </w:rPr>
        <w:t xml:space="preserve"> in Table 2.</w:t>
      </w:r>
    </w:p>
    <w:p w:rsidR="00606B03"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Empirical Model</w:t>
      </w:r>
    </w:p>
    <w:p w:rsidR="003C35C6"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To measure and analyze the effects of profitability, liquidity, </w:t>
      </w:r>
      <w:r w:rsidR="009C4504" w:rsidRPr="00CB216A">
        <w:rPr>
          <w:rFonts w:ascii="Times New Roman" w:hAnsi="Times New Roman" w:cs="Times New Roman"/>
          <w:color w:val="000000" w:themeColor="text1"/>
          <w:sz w:val="24"/>
          <w:szCs w:val="24"/>
          <w:lang w:val="en-US"/>
        </w:rPr>
        <w:t>solvency</w:t>
      </w:r>
      <w:r w:rsidRPr="00CB216A">
        <w:rPr>
          <w:rFonts w:ascii="Times New Roman" w:hAnsi="Times New Roman" w:cs="Times New Roman"/>
          <w:color w:val="000000" w:themeColor="text1"/>
          <w:sz w:val="24"/>
          <w:szCs w:val="24"/>
          <w:lang w:val="en-US"/>
        </w:rPr>
        <w:t>, and firm size on the returns of 30 Islamic stocks listed in JII, the Indonesian stock exchange over the period 2013-2017, panel Generalized Least</w:t>
      </w:r>
      <w:r w:rsidRPr="00CB216A">
        <w:rPr>
          <w:rFonts w:ascii="Times New Roman" w:hAnsi="Times New Roman" w:cs="Times New Roman"/>
          <w:color w:val="000000" w:themeColor="text1"/>
          <w:sz w:val="24"/>
          <w:szCs w:val="24"/>
          <w:lang w:val="en-US"/>
        </w:rPr>
        <w:t xml:space="preserve"> Square analysis was </w:t>
      </w:r>
      <w:r w:rsidR="00CB216A" w:rsidRPr="00CB216A">
        <w:rPr>
          <w:rFonts w:ascii="Times New Roman" w:hAnsi="Times New Roman" w:cs="Times New Roman"/>
          <w:color w:val="000000" w:themeColor="text1"/>
          <w:sz w:val="24"/>
          <w:szCs w:val="24"/>
          <w:lang w:val="en-US"/>
        </w:rPr>
        <w:t>adopted</w:t>
      </w:r>
      <w:r w:rsidRPr="00CB216A">
        <w:rPr>
          <w:rFonts w:ascii="Times New Roman" w:hAnsi="Times New Roman" w:cs="Times New Roman"/>
          <w:color w:val="000000" w:themeColor="text1"/>
          <w:sz w:val="24"/>
          <w:szCs w:val="24"/>
          <w:lang w:val="en-US"/>
        </w:rPr>
        <w:t xml:space="preserve"> and estimated using the E-Views statistical software. The panel data regression analysis is adopted because the data utilized in this study is a combination of time series data for five years (2013-2017) and a cross-section of </w:t>
      </w:r>
      <w:r w:rsidRPr="00CB216A">
        <w:rPr>
          <w:rFonts w:ascii="Times New Roman" w:hAnsi="Times New Roman" w:cs="Times New Roman"/>
          <w:color w:val="000000" w:themeColor="text1"/>
          <w:sz w:val="24"/>
          <w:szCs w:val="24"/>
          <w:lang w:val="en-US"/>
        </w:rPr>
        <w:t xml:space="preserve">30 different companies. </w:t>
      </w:r>
    </w:p>
    <w:p w:rsidR="00302B58" w:rsidRPr="00CB216A" w:rsidRDefault="0046403F" w:rsidP="002513C1">
      <w:pPr>
        <w:shd w:val="clear" w:color="auto" w:fill="FFFFFF" w:themeFill="background1"/>
        <w:spacing w:before="100" w:beforeAutospacing="1" w:after="100" w:afterAutospacing="1"/>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Before the data is estimated, it is necessary to test </w:t>
      </w:r>
      <w:r w:rsidR="003C35C6" w:rsidRPr="00CB216A">
        <w:rPr>
          <w:rFonts w:ascii="Times New Roman" w:hAnsi="Times New Roman" w:cs="Times New Roman"/>
          <w:color w:val="000000" w:themeColor="text1"/>
          <w:sz w:val="24"/>
          <w:szCs w:val="24"/>
          <w:lang w:val="en-US"/>
        </w:rPr>
        <w:t xml:space="preserve">the classical assumption, </w:t>
      </w:r>
      <w:r w:rsidRPr="00CB216A">
        <w:rPr>
          <w:rFonts w:ascii="Times New Roman" w:hAnsi="Times New Roman" w:cs="Times New Roman"/>
          <w:color w:val="000000" w:themeColor="text1"/>
          <w:sz w:val="24"/>
          <w:szCs w:val="24"/>
          <w:lang w:val="en-US"/>
        </w:rPr>
        <w:t>co</w:t>
      </w:r>
      <w:r w:rsidR="003C35C6" w:rsidRPr="00CB216A">
        <w:rPr>
          <w:rFonts w:ascii="Times New Roman" w:hAnsi="Times New Roman" w:cs="Times New Roman"/>
          <w:color w:val="000000" w:themeColor="text1"/>
          <w:sz w:val="24"/>
          <w:szCs w:val="24"/>
          <w:lang w:val="en-US"/>
        </w:rPr>
        <w:t xml:space="preserve">mprising </w:t>
      </w:r>
      <w:r w:rsidRPr="00CB216A">
        <w:rPr>
          <w:rFonts w:ascii="Times New Roman" w:hAnsi="Times New Roman" w:cs="Times New Roman"/>
          <w:color w:val="000000" w:themeColor="text1"/>
          <w:sz w:val="24"/>
          <w:szCs w:val="24"/>
          <w:lang w:val="en-US"/>
        </w:rPr>
        <w:t xml:space="preserve">the </w:t>
      </w:r>
      <w:r w:rsidR="003C35C6" w:rsidRPr="00CB216A">
        <w:rPr>
          <w:rFonts w:ascii="Times New Roman" w:hAnsi="Times New Roman" w:cs="Times New Roman"/>
          <w:color w:val="000000" w:themeColor="text1"/>
          <w:sz w:val="24"/>
          <w:szCs w:val="24"/>
          <w:lang w:val="en-US"/>
        </w:rPr>
        <w:t xml:space="preserve">tests of </w:t>
      </w:r>
      <w:r w:rsidRPr="00CB216A">
        <w:rPr>
          <w:rFonts w:ascii="Times New Roman" w:hAnsi="Times New Roman" w:cs="Times New Roman"/>
          <w:color w:val="000000" w:themeColor="text1"/>
          <w:sz w:val="24"/>
          <w:szCs w:val="24"/>
          <w:lang w:val="en-US"/>
        </w:rPr>
        <w:t>normality</w:t>
      </w:r>
      <w:r w:rsidR="003C35C6"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multicollinearity</w:t>
      </w:r>
      <w:r w:rsidR="003C35C6"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autocorrelation</w:t>
      </w:r>
      <w:r w:rsidR="003C35C6"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 xml:space="preserve">and </w:t>
      </w:r>
      <w:r w:rsidR="00CB216A" w:rsidRPr="00CB216A">
        <w:rPr>
          <w:rFonts w:ascii="Times New Roman" w:hAnsi="Times New Roman" w:cs="Times New Roman"/>
          <w:color w:val="000000" w:themeColor="text1"/>
          <w:sz w:val="24"/>
          <w:szCs w:val="24"/>
          <w:lang w:val="en-US"/>
        </w:rPr>
        <w:t>heteroscedasticity</w:t>
      </w:r>
      <w:r w:rsidRPr="00CB216A">
        <w:rPr>
          <w:rFonts w:ascii="Times New Roman" w:hAnsi="Times New Roman" w:cs="Times New Roman"/>
          <w:color w:val="000000" w:themeColor="text1"/>
          <w:sz w:val="24"/>
          <w:szCs w:val="24"/>
          <w:lang w:val="en-US"/>
        </w:rPr>
        <w:t xml:space="preserve">. </w:t>
      </w:r>
      <w:r w:rsidR="003C35C6" w:rsidRPr="00CB216A">
        <w:rPr>
          <w:rFonts w:ascii="Times New Roman" w:hAnsi="Times New Roman" w:cs="Times New Roman"/>
          <w:color w:val="000000" w:themeColor="text1"/>
          <w:sz w:val="24"/>
          <w:szCs w:val="24"/>
          <w:lang w:val="en-US"/>
        </w:rPr>
        <w:t xml:space="preserve">After ensuring all </w:t>
      </w:r>
      <w:r w:rsidR="00CB216A" w:rsidRPr="00CB216A">
        <w:rPr>
          <w:rFonts w:ascii="Times New Roman" w:hAnsi="Times New Roman" w:cs="Times New Roman"/>
          <w:color w:val="000000" w:themeColor="text1"/>
          <w:sz w:val="24"/>
          <w:szCs w:val="24"/>
          <w:lang w:val="en-US"/>
        </w:rPr>
        <w:t>variables</w:t>
      </w:r>
      <w:r w:rsidR="003C35C6" w:rsidRPr="00CB216A">
        <w:rPr>
          <w:rFonts w:ascii="Times New Roman" w:hAnsi="Times New Roman" w:cs="Times New Roman"/>
          <w:color w:val="000000" w:themeColor="text1"/>
          <w:sz w:val="24"/>
          <w:szCs w:val="24"/>
          <w:lang w:val="en-US"/>
        </w:rPr>
        <w:t xml:space="preserve"> fulfilled the classical assumptions, the hypotheses testing would be conducted following the studies by Majid and Maulana (2012) and </w:t>
      </w:r>
      <w:r w:rsidRPr="00CB216A">
        <w:rPr>
          <w:rFonts w:ascii="Times New Roman" w:hAnsi="Times New Roman" w:cs="Times New Roman"/>
          <w:color w:val="000000" w:themeColor="text1"/>
          <w:sz w:val="24"/>
          <w:szCs w:val="24"/>
          <w:lang w:val="en-US"/>
        </w:rPr>
        <w:t>Arfan et al</w:t>
      </w:r>
      <w:r w:rsidR="003C35C6" w:rsidRPr="00CB216A">
        <w:rPr>
          <w:rFonts w:ascii="Times New Roman" w:hAnsi="Times New Roman" w:cs="Times New Roman"/>
          <w:color w:val="000000" w:themeColor="text1"/>
          <w:sz w:val="24"/>
          <w:szCs w:val="24"/>
          <w:lang w:val="en-US"/>
        </w:rPr>
        <w:t>.</w:t>
      </w:r>
      <w:r w:rsidRPr="00CB216A">
        <w:rPr>
          <w:rFonts w:ascii="Times New Roman" w:hAnsi="Times New Roman" w:cs="Times New Roman"/>
          <w:color w:val="000000" w:themeColor="text1"/>
          <w:sz w:val="24"/>
          <w:szCs w:val="24"/>
          <w:lang w:val="en-US"/>
        </w:rPr>
        <w:t xml:space="preserve"> (2017)</w:t>
      </w:r>
      <w:r w:rsidR="003C35C6" w:rsidRPr="00CB216A">
        <w:rPr>
          <w:rFonts w:ascii="Times New Roman" w:hAnsi="Times New Roman" w:cs="Times New Roman"/>
          <w:color w:val="000000" w:themeColor="text1"/>
          <w:sz w:val="24"/>
          <w:szCs w:val="24"/>
          <w:lang w:val="en-US"/>
        </w:rPr>
        <w:t>, as below:</w:t>
      </w:r>
    </w:p>
    <w:p w:rsidR="00302B58" w:rsidRPr="00CB216A" w:rsidRDefault="0046403F" w:rsidP="002513C1">
      <w:pPr>
        <w:shd w:val="clear" w:color="auto" w:fill="FFFFFF" w:themeFill="background1"/>
        <w:spacing w:before="100" w:beforeAutospacing="1" w:after="100" w:afterAutospacing="1"/>
        <w:jc w:val="both"/>
        <w:rPr>
          <w:rFonts w:ascii="Times New Roman" w:eastAsiaTheme="minorEastAsia" w:hAnsi="Times New Roman" w:cs="Times New Roman"/>
          <w:color w:val="000000" w:themeColor="text1"/>
          <w:lang w:val="en-US"/>
        </w:rPr>
      </w:pPr>
      <w:r w:rsidRPr="00CB216A">
        <w:rPr>
          <w:rFonts w:ascii="Times New Roman" w:hAnsi="Times New Roman" w:cs="Times New Roman"/>
          <w:color w:val="000000" w:themeColor="text1"/>
          <w:lang w:val="en-US"/>
        </w:rPr>
        <w:tab/>
      </w:r>
      <m:oMath>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ISR</m:t>
            </m:r>
          </m:e>
          <m:sub>
            <m:r>
              <m:rPr>
                <m:sty m:val="p"/>
              </m:rPr>
              <w:rPr>
                <w:rFonts w:ascii="Cambria Math" w:hAnsi="Times New Roman" w:cs="Times New Roman"/>
                <w:color w:val="000000" w:themeColor="text1"/>
                <w:lang w:val="en-US"/>
              </w:rPr>
              <m:t>it</m:t>
            </m:r>
          </m:sub>
        </m:sSub>
      </m:oMath>
      <w:r w:rsidRPr="00CB216A">
        <w:rPr>
          <w:rFonts w:ascii="Times New Roman" w:hAnsi="Times New Roman" w:cs="Times New Roman"/>
          <w:color w:val="000000" w:themeColor="text1"/>
          <w:lang w:val="en-US"/>
        </w:rPr>
        <w:t xml:space="preserve">= a+ </w:t>
      </w:r>
      <m:oMath>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1</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PRO</m:t>
            </m:r>
          </m:e>
          <m:sub>
            <m:r>
              <m:rPr>
                <m:sty m:val="p"/>
              </m:rPr>
              <w:rPr>
                <w:rFonts w:ascii="Cambria Math" w:hAnsi="Times New Roman" w:cs="Times New Roman"/>
                <w:color w:val="000000" w:themeColor="text1"/>
                <w:lang w:val="en-US"/>
              </w:rPr>
              <m:t>1it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2</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LIQ</m:t>
            </m:r>
          </m:e>
          <m:sub>
            <m:r>
              <m:rPr>
                <m:sty m:val="p"/>
              </m:rPr>
              <w:rPr>
                <w:rFonts w:ascii="Cambria Math" w:hAnsi="Times New Roman" w:cs="Times New Roman"/>
                <w:color w:val="000000" w:themeColor="text1"/>
                <w:lang w:val="en-US"/>
              </w:rPr>
              <m:t>2it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3</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SOL</m:t>
            </m:r>
          </m:e>
          <m:sub>
            <m:r>
              <m:rPr>
                <m:sty m:val="p"/>
              </m:rPr>
              <w:rPr>
                <w:rFonts w:ascii="Cambria Math" w:hAnsi="Times New Roman" w:cs="Times New Roman"/>
                <w:color w:val="000000" w:themeColor="text1"/>
                <w:lang w:val="en-US"/>
              </w:rPr>
              <m:t>3it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4</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FSZ</m:t>
            </m:r>
          </m:e>
          <m:sub>
            <m:r>
              <m:rPr>
                <m:sty m:val="p"/>
              </m:rPr>
              <w:rPr>
                <w:rFonts w:ascii="Cambria Math" w:hAnsi="Times New Roman" w:cs="Times New Roman"/>
                <w:color w:val="000000" w:themeColor="text1"/>
                <w:lang w:val="en-US"/>
              </w:rPr>
              <m:t>4it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u</m:t>
            </m:r>
          </m:e>
          <m:sub>
            <m:r>
              <m:rPr>
                <m:sty m:val="p"/>
              </m:rPr>
              <w:rPr>
                <w:rFonts w:ascii="Cambria Math" w:hAnsi="Times New Roman" w:cs="Times New Roman"/>
                <w:color w:val="000000" w:themeColor="text1"/>
                <w:lang w:val="en-US"/>
              </w:rPr>
              <m:t>it</m:t>
            </m:r>
          </m:sub>
        </m:sSub>
      </m:oMath>
      <w:r w:rsidRPr="00CB216A">
        <w:rPr>
          <w:rFonts w:ascii="Times New Roman" w:eastAsiaTheme="minorEastAsia" w:hAnsi="Times New Roman" w:cs="Times New Roman"/>
          <w:color w:val="000000" w:themeColor="text1"/>
          <w:lang w:val="en-US"/>
        </w:rPr>
        <w:t xml:space="preserve">              (1)</w:t>
      </w:r>
    </w:p>
    <w:p w:rsidR="00302B58"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 xml:space="preserve">where ISS is the Islamic stock returns, PRO is the profitability, LIQ is the Liquidity, SOL is the </w:t>
      </w:r>
      <w:r w:rsidR="009C4504" w:rsidRPr="00CB216A">
        <w:rPr>
          <w:rFonts w:ascii="Times New Roman" w:eastAsia="Times New Roman" w:hAnsi="Times New Roman" w:cs="Times New Roman"/>
          <w:color w:val="222222"/>
          <w:sz w:val="24"/>
          <w:szCs w:val="24"/>
          <w:lang w:val="en-US"/>
        </w:rPr>
        <w:t>solvency</w:t>
      </w:r>
      <w:r w:rsidRPr="00CB216A">
        <w:rPr>
          <w:rFonts w:ascii="Times New Roman" w:eastAsia="Times New Roman" w:hAnsi="Times New Roman" w:cs="Times New Roman"/>
          <w:color w:val="222222"/>
          <w:sz w:val="24"/>
          <w:szCs w:val="24"/>
          <w:lang w:val="en-US"/>
        </w:rPr>
        <w:t>, FSZ is the firm size, b</w:t>
      </w:r>
      <w:r w:rsidRPr="00CB216A">
        <w:rPr>
          <w:rFonts w:ascii="Times New Roman" w:eastAsia="Times New Roman" w:hAnsi="Times New Roman" w:cs="Times New Roman"/>
          <w:color w:val="222222"/>
          <w:sz w:val="24"/>
          <w:szCs w:val="24"/>
          <w:vertAlign w:val="subscript"/>
          <w:lang w:val="en-US"/>
        </w:rPr>
        <w:t>i</w:t>
      </w:r>
      <w:r w:rsidRPr="00CB216A">
        <w:rPr>
          <w:rFonts w:ascii="Times New Roman" w:eastAsia="Times New Roman" w:hAnsi="Times New Roman" w:cs="Times New Roman"/>
          <w:color w:val="222222"/>
          <w:sz w:val="24"/>
          <w:szCs w:val="24"/>
          <w:lang w:val="en-US"/>
        </w:rPr>
        <w:t xml:space="preserve"> is the estimated variables, a is a constant term, and u</w:t>
      </w:r>
      <w:r w:rsidRPr="00CB216A">
        <w:rPr>
          <w:rFonts w:ascii="Times New Roman" w:eastAsia="Times New Roman" w:hAnsi="Times New Roman" w:cs="Times New Roman"/>
          <w:color w:val="222222"/>
          <w:sz w:val="24"/>
          <w:szCs w:val="24"/>
          <w:vertAlign w:val="subscript"/>
          <w:lang w:val="en-US"/>
        </w:rPr>
        <w:t>it</w:t>
      </w:r>
      <w:r w:rsidRPr="00CB216A">
        <w:rPr>
          <w:rFonts w:ascii="Times New Roman" w:eastAsia="Times New Roman" w:hAnsi="Times New Roman" w:cs="Times New Roman"/>
          <w:color w:val="222222"/>
          <w:sz w:val="24"/>
          <w:szCs w:val="24"/>
          <w:lang w:val="en-US"/>
        </w:rPr>
        <w:t xml:space="preserve"> is an error term.</w:t>
      </w:r>
    </w:p>
    <w:p w:rsidR="0017506A"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To estimate panel regression, there are two co</w:t>
      </w:r>
      <w:r w:rsidRPr="00CB216A">
        <w:rPr>
          <w:rFonts w:ascii="Times New Roman" w:eastAsia="Times New Roman" w:hAnsi="Times New Roman" w:cs="Times New Roman"/>
          <w:color w:val="222222"/>
          <w:sz w:val="24"/>
          <w:szCs w:val="24"/>
          <w:lang w:val="en-US"/>
        </w:rPr>
        <w:t xml:space="preserve">mmon models often used, </w:t>
      </w:r>
      <w:r w:rsidR="00CB216A" w:rsidRPr="00CB216A">
        <w:rPr>
          <w:rFonts w:ascii="Times New Roman" w:eastAsia="Times New Roman" w:hAnsi="Times New Roman" w:cs="Times New Roman"/>
          <w:color w:val="222222"/>
          <w:sz w:val="24"/>
          <w:szCs w:val="24"/>
          <w:lang w:val="en-US"/>
        </w:rPr>
        <w:t>namely</w:t>
      </w:r>
      <w:r w:rsidRPr="00CB216A">
        <w:rPr>
          <w:rFonts w:ascii="Times New Roman" w:eastAsia="Times New Roman" w:hAnsi="Times New Roman" w:cs="Times New Roman"/>
          <w:color w:val="222222"/>
          <w:sz w:val="24"/>
          <w:szCs w:val="24"/>
          <w:lang w:val="en-US"/>
        </w:rPr>
        <w:t xml:space="preserve">:  the fixed effect model and the random effect model (Ajijah et al., 2011). To determine which of the two models is more appropriate to use in the study, it will be statistically tested by the Hausman test. This test follows </w:t>
      </w:r>
      <w:r w:rsidRPr="00CB216A">
        <w:rPr>
          <w:rFonts w:ascii="Times New Roman" w:eastAsia="Times New Roman" w:hAnsi="Times New Roman" w:cs="Times New Roman"/>
          <w:color w:val="222222"/>
          <w:sz w:val="24"/>
          <w:szCs w:val="24"/>
          <w:lang w:val="en-US"/>
        </w:rPr>
        <w:t>the statistical distribution of Chi-square with the degree of freedom is equal to the number of independent variables. If the Hausman statistic value is greater than the critical value of Chi-square statistics, this indicates that the fixed effect model is</w:t>
      </w:r>
      <w:r w:rsidRPr="00CB216A">
        <w:rPr>
          <w:rFonts w:ascii="Times New Roman" w:eastAsia="Times New Roman" w:hAnsi="Times New Roman" w:cs="Times New Roman"/>
          <w:color w:val="222222"/>
          <w:sz w:val="24"/>
          <w:szCs w:val="24"/>
          <w:lang w:val="en-US"/>
        </w:rPr>
        <w:t xml:space="preserve"> a more appropriate model to be adopted. On the other hand, if the Hausman statistic value is smaller than the critical value of Chi-square statistics, then the random effect model is a more appropriate model to be used.</w:t>
      </w:r>
    </w:p>
    <w:p w:rsidR="0017506A"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The fixed-effect model uses dummy v</w:t>
      </w:r>
      <w:r w:rsidRPr="00CB216A">
        <w:rPr>
          <w:rFonts w:ascii="Times New Roman" w:eastAsia="Times New Roman" w:hAnsi="Times New Roman" w:cs="Times New Roman"/>
          <w:color w:val="222222"/>
          <w:sz w:val="24"/>
          <w:szCs w:val="24"/>
          <w:lang w:val="en-US"/>
        </w:rPr>
        <w:t>ariables to capture intercept differences as the following equation:</w:t>
      </w:r>
    </w:p>
    <w:p w:rsidR="0017506A" w:rsidRPr="00CB216A" w:rsidRDefault="00A91EE8" w:rsidP="002513C1">
      <w:pPr>
        <w:shd w:val="clear" w:color="auto" w:fill="FFFFFF" w:themeFill="background1"/>
        <w:spacing w:before="100" w:beforeAutospacing="1" w:after="100" w:afterAutospacing="1"/>
        <w:jc w:val="center"/>
        <w:rPr>
          <w:rFonts w:ascii="Times New Roman" w:eastAsiaTheme="minorEastAsia" w:hAnsi="Times New Roman" w:cs="Times New Roman"/>
          <w:color w:val="000000" w:themeColor="text1"/>
          <w:lang w:val="en-US"/>
        </w:rPr>
      </w:pPr>
      <m:oMath>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ISR</m:t>
            </m:r>
          </m:e>
          <m:sub>
            <m:r>
              <m:rPr>
                <m:sty m:val="p"/>
              </m:rPr>
              <w:rPr>
                <w:rFonts w:ascii="Cambria Math" w:hAnsi="Times New Roman" w:cs="Times New Roman"/>
                <w:color w:val="000000" w:themeColor="text1"/>
                <w:lang w:val="en-US"/>
              </w:rPr>
              <m:t>it</m:t>
            </m:r>
          </m:sub>
        </m:sSub>
      </m:oMath>
      <w:r w:rsidR="0046403F" w:rsidRPr="00CB216A">
        <w:rPr>
          <w:rFonts w:ascii="Times New Roman" w:hAnsi="Times New Roman" w:cs="Times New Roman"/>
          <w:color w:val="000000" w:themeColor="text1"/>
          <w:lang w:val="en-US"/>
        </w:rPr>
        <w:t>= a</w:t>
      </w:r>
      <w:r w:rsidR="0046403F" w:rsidRPr="00CB216A">
        <w:rPr>
          <w:rFonts w:ascii="Times New Roman" w:hAnsi="Times New Roman" w:cs="Times New Roman"/>
          <w:color w:val="000000" w:themeColor="text1"/>
          <w:vertAlign w:val="subscript"/>
          <w:lang w:val="en-US"/>
        </w:rPr>
        <w:t>1</w:t>
      </w:r>
      <w:r w:rsidR="0046403F" w:rsidRPr="00CB216A">
        <w:rPr>
          <w:rFonts w:ascii="Times New Roman" w:hAnsi="Times New Roman" w:cs="Times New Roman"/>
          <w:color w:val="000000" w:themeColor="text1"/>
          <w:lang w:val="en-US"/>
        </w:rPr>
        <w:t xml:space="preserve">+ </w:t>
      </w:r>
      <m:oMath>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1</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PRO</m:t>
            </m:r>
          </m:e>
          <m:sub>
            <m:r>
              <m:rPr>
                <m:sty m:val="p"/>
              </m:rPr>
              <w:rPr>
                <w:rFonts w:ascii="Cambria Math" w:hAnsi="Times New Roman" w:cs="Times New Roman"/>
                <w:color w:val="000000" w:themeColor="text1"/>
                <w:lang w:val="en-US"/>
              </w:rPr>
              <m:t>1it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2</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LIQ</m:t>
            </m:r>
          </m:e>
          <m:sub>
            <m:r>
              <m:rPr>
                <m:sty m:val="p"/>
              </m:rPr>
              <w:rPr>
                <w:rFonts w:ascii="Cambria Math" w:hAnsi="Times New Roman" w:cs="Times New Roman"/>
                <w:color w:val="000000" w:themeColor="text1"/>
                <w:lang w:val="en-US"/>
              </w:rPr>
              <m:t>2it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3</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SOL</m:t>
            </m:r>
          </m:e>
          <m:sub>
            <m:r>
              <m:rPr>
                <m:sty m:val="p"/>
              </m:rPr>
              <w:rPr>
                <w:rFonts w:ascii="Cambria Math" w:hAnsi="Times New Roman" w:cs="Times New Roman"/>
                <w:color w:val="000000" w:themeColor="text1"/>
                <w:lang w:val="en-US"/>
              </w:rPr>
              <m:t>3it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4</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FSZ</m:t>
            </m:r>
          </m:e>
          <m:sub>
            <m:r>
              <m:rPr>
                <m:sty m:val="p"/>
              </m:rPr>
              <w:rPr>
                <w:rFonts w:ascii="Cambria Math" w:hAnsi="Times New Roman" w:cs="Times New Roman"/>
                <w:color w:val="000000" w:themeColor="text1"/>
                <w:lang w:val="en-US"/>
              </w:rPr>
              <m:t>4it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u</m:t>
            </m:r>
          </m:e>
          <m:sub>
            <m:r>
              <m:rPr>
                <m:sty m:val="p"/>
              </m:rPr>
              <w:rPr>
                <w:rFonts w:ascii="Cambria Math" w:hAnsi="Times New Roman" w:cs="Times New Roman"/>
                <w:color w:val="000000" w:themeColor="text1"/>
                <w:lang w:val="en-US"/>
              </w:rPr>
              <m:t>it</m:t>
            </m:r>
          </m:sub>
        </m:sSub>
      </m:oMath>
      <w:r w:rsidR="0046403F" w:rsidRPr="00CB216A">
        <w:rPr>
          <w:rFonts w:ascii="Times New Roman" w:eastAsiaTheme="minorEastAsia" w:hAnsi="Times New Roman" w:cs="Times New Roman"/>
          <w:color w:val="000000" w:themeColor="text1"/>
          <w:lang w:val="en-US"/>
        </w:rPr>
        <w:t xml:space="preserve">              (2)</w:t>
      </w:r>
    </w:p>
    <w:p w:rsidR="0017506A" w:rsidRPr="00CB216A" w:rsidRDefault="0046403F" w:rsidP="002513C1">
      <w:pPr>
        <w:shd w:val="clear" w:color="auto" w:fill="FFFFFF" w:themeFill="background1"/>
        <w:spacing w:before="100" w:beforeAutospacing="1" w:after="100" w:afterAutospacing="1"/>
        <w:jc w:val="both"/>
        <w:rPr>
          <w:rFonts w:ascii="Times New Roman" w:eastAsiaTheme="minorEastAsia" w:hAnsi="Times New Roman" w:cs="Times New Roman"/>
          <w:color w:val="000000" w:themeColor="text1"/>
          <w:sz w:val="24"/>
          <w:szCs w:val="24"/>
          <w:lang w:val="en-US"/>
        </w:rPr>
      </w:pPr>
      <w:r w:rsidRPr="00CB216A">
        <w:rPr>
          <w:rFonts w:ascii="Times New Roman" w:eastAsiaTheme="minorEastAsia" w:hAnsi="Times New Roman" w:cs="Times New Roman"/>
          <w:color w:val="000000" w:themeColor="text1"/>
          <w:sz w:val="24"/>
          <w:szCs w:val="24"/>
          <w:lang w:val="en-US"/>
        </w:rPr>
        <w:t xml:space="preserve">Meanwhile, the </w:t>
      </w:r>
      <w:r w:rsidR="00A6168A" w:rsidRPr="00CB216A">
        <w:rPr>
          <w:rFonts w:ascii="Times New Roman" w:eastAsiaTheme="minorEastAsia" w:hAnsi="Times New Roman" w:cs="Times New Roman"/>
          <w:color w:val="000000" w:themeColor="text1"/>
          <w:sz w:val="24"/>
          <w:szCs w:val="24"/>
          <w:lang w:val="en-US"/>
        </w:rPr>
        <w:t>random effect model</w:t>
      </w:r>
      <w:r w:rsidRPr="00CB216A">
        <w:rPr>
          <w:lang w:val="en-US"/>
        </w:rPr>
        <w:t xml:space="preserve"> </w:t>
      </w:r>
      <w:r w:rsidRPr="00CB216A">
        <w:rPr>
          <w:rFonts w:ascii="Times New Roman" w:eastAsiaTheme="minorEastAsia" w:hAnsi="Times New Roman" w:cs="Times New Roman"/>
          <w:color w:val="000000" w:themeColor="text1"/>
          <w:sz w:val="24"/>
          <w:szCs w:val="24"/>
          <w:lang w:val="en-US"/>
        </w:rPr>
        <w:t xml:space="preserve">assumes the coefficient of intercepts differ between individuals and between time </w:t>
      </w:r>
      <w:r w:rsidRPr="00CB216A">
        <w:rPr>
          <w:rFonts w:ascii="Times New Roman" w:eastAsiaTheme="minorEastAsia" w:hAnsi="Times New Roman" w:cs="Times New Roman"/>
          <w:color w:val="000000" w:themeColor="text1"/>
          <w:sz w:val="24"/>
          <w:szCs w:val="24"/>
          <w:lang w:val="en-US"/>
        </w:rPr>
        <w:t>(random effect). The random effect model is estimated as the following equation:</w:t>
      </w:r>
    </w:p>
    <w:p w:rsidR="0017506A" w:rsidRPr="00CB216A" w:rsidRDefault="00A91EE8" w:rsidP="002513C1">
      <w:pPr>
        <w:shd w:val="clear" w:color="auto" w:fill="FFFFFF" w:themeFill="background1"/>
        <w:spacing w:before="100" w:beforeAutospacing="1" w:after="100" w:afterAutospacing="1"/>
        <w:jc w:val="center"/>
        <w:rPr>
          <w:rFonts w:ascii="Times New Roman" w:eastAsiaTheme="minorEastAsia" w:hAnsi="Times New Roman" w:cs="Times New Roman"/>
          <w:color w:val="000000" w:themeColor="text1"/>
          <w:lang w:val="en-US"/>
        </w:rPr>
      </w:pPr>
      <m:oMath>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ISR</m:t>
            </m:r>
          </m:e>
          <m:sub>
            <m:r>
              <m:rPr>
                <m:sty m:val="p"/>
              </m:rPr>
              <w:rPr>
                <w:rFonts w:ascii="Cambria Math" w:hAnsi="Times New Roman" w:cs="Times New Roman"/>
                <w:color w:val="000000" w:themeColor="text1"/>
                <w:lang w:val="en-US"/>
              </w:rPr>
              <m:t>it</m:t>
            </m:r>
          </m:sub>
        </m:sSub>
      </m:oMath>
      <w:r w:rsidR="0046403F" w:rsidRPr="00CB216A">
        <w:rPr>
          <w:rFonts w:ascii="Times New Roman" w:hAnsi="Times New Roman" w:cs="Times New Roman"/>
          <w:color w:val="000000" w:themeColor="text1"/>
          <w:lang w:val="en-US"/>
        </w:rPr>
        <w:t xml:space="preserve">= a+ </w:t>
      </w:r>
      <m:oMath>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1</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PRO</m:t>
            </m:r>
          </m:e>
          <m:sub>
            <m:r>
              <m:rPr>
                <m:sty m:val="p"/>
              </m:rPr>
              <w:rPr>
                <w:rFonts w:ascii="Cambria Math" w:hAnsi="Times New Roman" w:cs="Times New Roman"/>
                <w:color w:val="000000" w:themeColor="text1"/>
                <w:lang w:val="en-US"/>
              </w:rPr>
              <m:t>1it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2</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LIQ</m:t>
            </m:r>
          </m:e>
          <m:sub>
            <m:r>
              <m:rPr>
                <m:sty m:val="p"/>
              </m:rPr>
              <w:rPr>
                <w:rFonts w:ascii="Cambria Math" w:hAnsi="Times New Roman" w:cs="Times New Roman"/>
                <w:color w:val="000000" w:themeColor="text1"/>
                <w:lang w:val="en-US"/>
              </w:rPr>
              <m:t>2it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3</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SOL</m:t>
            </m:r>
          </m:e>
          <m:sub>
            <m:r>
              <m:rPr>
                <m:sty m:val="p"/>
              </m:rPr>
              <w:rPr>
                <w:rFonts w:ascii="Cambria Math" w:hAnsi="Times New Roman" w:cs="Times New Roman"/>
                <w:color w:val="000000" w:themeColor="text1"/>
                <w:lang w:val="en-US"/>
              </w:rPr>
              <m:t>3it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b</m:t>
            </m:r>
          </m:e>
          <m:sub>
            <m:r>
              <m:rPr>
                <m:sty m:val="p"/>
              </m:rPr>
              <w:rPr>
                <w:rFonts w:ascii="Cambria Math" w:hAnsi="Times New Roman" w:cs="Times New Roman"/>
                <w:color w:val="000000" w:themeColor="text1"/>
                <w:lang w:val="en-US"/>
              </w:rPr>
              <m:t>4</m:t>
            </m:r>
          </m:sub>
        </m:sSub>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FSZ</m:t>
            </m:r>
          </m:e>
          <m:sub>
            <m:r>
              <m:rPr>
                <m:sty m:val="p"/>
              </m:rPr>
              <w:rPr>
                <w:rFonts w:ascii="Cambria Math" w:hAnsi="Times New Roman" w:cs="Times New Roman"/>
                <w:color w:val="000000" w:themeColor="text1"/>
                <w:lang w:val="en-US"/>
              </w:rPr>
              <m:t>4it</m:t>
            </m:r>
          </m:sub>
        </m:sSub>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e</m:t>
            </m:r>
          </m:e>
          <m:sub>
            <m:r>
              <m:rPr>
                <m:sty m:val="p"/>
              </m:rPr>
              <w:rPr>
                <w:rFonts w:ascii="Cambria Math" w:hAnsi="Times New Roman" w:cs="Times New Roman"/>
                <w:color w:val="000000" w:themeColor="text1"/>
                <w:lang w:val="en-US"/>
              </w:rPr>
              <m:t>it</m:t>
            </m:r>
          </m:sub>
        </m:sSub>
      </m:oMath>
      <w:r w:rsidR="0046403F" w:rsidRPr="00CB216A">
        <w:rPr>
          <w:rFonts w:ascii="Times New Roman" w:eastAsiaTheme="minorEastAsia" w:hAnsi="Times New Roman" w:cs="Times New Roman"/>
          <w:color w:val="000000" w:themeColor="text1"/>
          <w:lang w:val="en-US"/>
        </w:rPr>
        <w:t xml:space="preserve"> </w:t>
      </w:r>
      <m:oMath>
        <m:r>
          <m:rPr>
            <m:sty m:val="p"/>
          </m:rPr>
          <w:rPr>
            <w:rFonts w:ascii="Cambria Math" w:hAnsi="Times New Roman" w:cs="Times New Roman"/>
            <w:color w:val="000000" w:themeColor="text1"/>
            <w:lang w:val="en-US"/>
          </w:rPr>
          <m:t>+</m:t>
        </m:r>
        <m:sSub>
          <m:sSubPr>
            <m:ctrlPr>
              <w:rPr>
                <w:rFonts w:ascii="Cambria Math" w:hAnsi="Times New Roman" w:cs="Times New Roman"/>
                <w:color w:val="000000" w:themeColor="text1"/>
                <w:lang w:val="en-US"/>
              </w:rPr>
            </m:ctrlPr>
          </m:sSubPr>
          <m:e>
            <m:r>
              <m:rPr>
                <m:sty m:val="p"/>
              </m:rPr>
              <w:rPr>
                <w:rFonts w:ascii="Cambria Math" w:hAnsi="Times New Roman" w:cs="Times New Roman"/>
                <w:color w:val="000000" w:themeColor="text1"/>
                <w:lang w:val="en-US"/>
              </w:rPr>
              <m:t>u</m:t>
            </m:r>
          </m:e>
          <m:sub>
            <m:r>
              <m:rPr>
                <m:sty m:val="p"/>
              </m:rPr>
              <w:rPr>
                <w:rFonts w:ascii="Cambria Math" w:hAnsi="Times New Roman" w:cs="Times New Roman"/>
                <w:color w:val="000000" w:themeColor="text1"/>
                <w:lang w:val="en-US"/>
              </w:rPr>
              <m:t>it</m:t>
            </m:r>
          </m:sub>
        </m:sSub>
      </m:oMath>
      <w:r w:rsidR="0046403F" w:rsidRPr="00CB216A">
        <w:rPr>
          <w:rFonts w:ascii="Times New Roman" w:eastAsiaTheme="minorEastAsia" w:hAnsi="Times New Roman" w:cs="Times New Roman"/>
          <w:color w:val="000000" w:themeColor="text1"/>
          <w:lang w:val="en-US"/>
        </w:rPr>
        <w:t xml:space="preserve">              (3)</w:t>
      </w:r>
    </w:p>
    <w:p w:rsidR="00A368AF"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heme="minorEastAsia" w:hAnsi="Times New Roman" w:cs="Times New Roman"/>
          <w:color w:val="000000" w:themeColor="text1"/>
          <w:sz w:val="24"/>
          <w:szCs w:val="24"/>
          <w:lang w:val="en-US"/>
        </w:rPr>
        <w:t>As stated earlier, before estimating the panel regression, the classical assumption tests of normality,</w:t>
      </w:r>
      <w:r w:rsidRPr="00CB216A">
        <w:rPr>
          <w:rFonts w:ascii="Times New Roman" w:eastAsiaTheme="minorEastAsia" w:hAnsi="Times New Roman" w:cs="Times New Roman"/>
          <w:color w:val="000000" w:themeColor="text1"/>
          <w:sz w:val="24"/>
          <w:szCs w:val="24"/>
          <w:lang w:val="en-US"/>
        </w:rPr>
        <w:t xml:space="preserve"> multicollinearity, autocorrelation, and heteroscedasticity are conducted first.</w:t>
      </w:r>
      <w:r w:rsidR="00925C87" w:rsidRPr="00CB216A">
        <w:rPr>
          <w:rFonts w:ascii="Times New Roman" w:eastAsiaTheme="minorEastAsia" w:hAnsi="Times New Roman" w:cs="Times New Roman"/>
          <w:color w:val="000000" w:themeColor="text1"/>
          <w:sz w:val="24"/>
          <w:szCs w:val="24"/>
          <w:lang w:val="en-US"/>
        </w:rPr>
        <w:t xml:space="preserve"> </w:t>
      </w:r>
      <w:r w:rsidR="00925C87" w:rsidRPr="00CB216A">
        <w:rPr>
          <w:rFonts w:ascii="Times New Roman" w:eastAsia="Times New Roman" w:hAnsi="Times New Roman" w:cs="Times New Roman"/>
          <w:color w:val="222222"/>
          <w:sz w:val="24"/>
          <w:szCs w:val="24"/>
          <w:lang w:val="en-US"/>
        </w:rPr>
        <w:t>The normality test is conducted by referring to the asymptotic probability. If its probability value is greater than 0.5, then the data is said to be normally distributed. A multicollinearity test is conducted by using the Variance Inflation Factor (VIF). If the VIF value is below 10, then the data is said to be free from multicollinearity problems. As for the autocorrelation test, the Durbin Watson (DW) test is used, if the DW statistical value is around 2, then the data is said to be free from the autocorrelation problem. Finally, the heteroscedasticity test is performed by referring to the Bruesch-Pagan (BP) test. If the value of the BP Chi-</w:t>
      </w:r>
      <w:r w:rsidR="00CB216A" w:rsidRPr="00CB216A">
        <w:rPr>
          <w:rFonts w:ascii="Times New Roman" w:eastAsia="Times New Roman" w:hAnsi="Times New Roman" w:cs="Times New Roman"/>
          <w:color w:val="222222"/>
          <w:sz w:val="24"/>
          <w:szCs w:val="24"/>
          <w:lang w:val="en-US"/>
        </w:rPr>
        <w:t>square</w:t>
      </w:r>
      <w:r w:rsidR="00925C87" w:rsidRPr="00CB216A">
        <w:rPr>
          <w:rFonts w:ascii="Times New Roman" w:eastAsia="Times New Roman" w:hAnsi="Times New Roman" w:cs="Times New Roman"/>
          <w:color w:val="222222"/>
          <w:sz w:val="24"/>
          <w:szCs w:val="24"/>
          <w:lang w:val="en-US"/>
        </w:rPr>
        <w:t xml:space="preserve"> is greater than its p-value, then the data concluded to be free from the heteroscedastic problem. </w:t>
      </w:r>
    </w:p>
    <w:p w:rsidR="00A368AF" w:rsidRPr="00CB216A" w:rsidRDefault="0046403F" w:rsidP="002513C1">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FINDINGS AND DISCUSSION</w:t>
      </w:r>
    </w:p>
    <w:p w:rsidR="00A368AF"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hAnsi="Times New Roman" w:cs="Times New Roman"/>
          <w:b/>
          <w:sz w:val="24"/>
          <w:szCs w:val="24"/>
          <w:lang w:val="en-US"/>
        </w:rPr>
        <w:t>Descriptive Statistics</w:t>
      </w:r>
    </w:p>
    <w:p w:rsidR="00CB32E3"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 xml:space="preserve">In Indonesia, </w:t>
      </w:r>
      <w:r w:rsidR="006572F5" w:rsidRPr="00CB216A">
        <w:rPr>
          <w:rFonts w:ascii="Times New Roman" w:eastAsia="Times New Roman" w:hAnsi="Times New Roman" w:cs="Times New Roman"/>
          <w:color w:val="222222"/>
          <w:sz w:val="24"/>
          <w:szCs w:val="24"/>
          <w:lang w:val="en-US"/>
        </w:rPr>
        <w:t xml:space="preserve">a </w:t>
      </w:r>
      <w:r w:rsidRPr="00CB216A">
        <w:rPr>
          <w:rFonts w:ascii="Times New Roman" w:eastAsia="Times New Roman" w:hAnsi="Times New Roman" w:cs="Times New Roman"/>
          <w:color w:val="222222"/>
          <w:sz w:val="24"/>
          <w:szCs w:val="24"/>
          <w:lang w:val="en-US"/>
        </w:rPr>
        <w:t>stock</w:t>
      </w:r>
      <w:r w:rsidR="006572F5" w:rsidRPr="00CB216A">
        <w:rPr>
          <w:rFonts w:ascii="Times New Roman" w:eastAsia="Times New Roman" w:hAnsi="Times New Roman" w:cs="Times New Roman"/>
          <w:color w:val="222222"/>
          <w:sz w:val="24"/>
          <w:szCs w:val="24"/>
          <w:lang w:val="en-US"/>
        </w:rPr>
        <w:t xml:space="preserve"> is categorized as Islamic is</w:t>
      </w:r>
      <w:r w:rsidRPr="00CB216A">
        <w:rPr>
          <w:rFonts w:ascii="Times New Roman" w:eastAsia="Times New Roman" w:hAnsi="Times New Roman" w:cs="Times New Roman"/>
          <w:color w:val="222222"/>
          <w:sz w:val="24"/>
          <w:szCs w:val="24"/>
          <w:lang w:val="en-US"/>
        </w:rPr>
        <w:t xml:space="preserve"> </w:t>
      </w:r>
      <w:r w:rsidR="006572F5" w:rsidRPr="00CB216A">
        <w:rPr>
          <w:rFonts w:ascii="Times New Roman" w:eastAsia="Times New Roman" w:hAnsi="Times New Roman" w:cs="Times New Roman"/>
          <w:color w:val="222222"/>
          <w:sz w:val="24"/>
          <w:szCs w:val="24"/>
          <w:lang w:val="en-US"/>
        </w:rPr>
        <w:t>determined by the National Shariah Boards of the</w:t>
      </w:r>
      <w:r w:rsidR="00CB216A">
        <w:rPr>
          <w:rFonts w:ascii="Times New Roman" w:eastAsia="Times New Roman" w:hAnsi="Times New Roman" w:cs="Times New Roman"/>
          <w:color w:val="222222"/>
          <w:sz w:val="24"/>
          <w:szCs w:val="24"/>
          <w:lang w:val="en-US"/>
        </w:rPr>
        <w:t xml:space="preserve"> Indonesian Ulema Council (</w:t>
      </w:r>
      <w:r w:rsidR="00CB216A" w:rsidRPr="00CB216A">
        <w:rPr>
          <w:rFonts w:ascii="Times New Roman" w:eastAsia="Times New Roman" w:hAnsi="Times New Roman" w:cs="Times New Roman"/>
          <w:i/>
          <w:color w:val="222222"/>
          <w:sz w:val="24"/>
          <w:szCs w:val="24"/>
          <w:lang w:val="en-US"/>
        </w:rPr>
        <w:t>Dewan</w:t>
      </w:r>
      <w:r w:rsidR="006572F5" w:rsidRPr="00CB216A">
        <w:rPr>
          <w:rFonts w:ascii="Times New Roman" w:eastAsia="Times New Roman" w:hAnsi="Times New Roman" w:cs="Times New Roman"/>
          <w:i/>
          <w:color w:val="222222"/>
          <w:sz w:val="24"/>
          <w:szCs w:val="24"/>
          <w:lang w:val="en-US"/>
        </w:rPr>
        <w:t xml:space="preserve"> Syariah Nasional Majelis Ulama Indonesia</w:t>
      </w:r>
      <w:r w:rsidR="006572F5" w:rsidRPr="00CB216A">
        <w:rPr>
          <w:rFonts w:ascii="Times New Roman" w:eastAsia="Times New Roman" w:hAnsi="Times New Roman" w:cs="Times New Roman"/>
          <w:color w:val="222222"/>
          <w:sz w:val="24"/>
          <w:szCs w:val="24"/>
          <w:lang w:val="en-US"/>
        </w:rPr>
        <w:t xml:space="preserve"> – DSN MUI) in every six-month. The Islamic stock is evaluated based on their </w:t>
      </w:r>
      <w:r w:rsidRPr="00CB216A">
        <w:rPr>
          <w:rFonts w:ascii="Times New Roman" w:eastAsia="Times New Roman" w:hAnsi="Times New Roman" w:cs="Times New Roman"/>
          <w:color w:val="222222"/>
          <w:sz w:val="24"/>
          <w:szCs w:val="24"/>
          <w:lang w:val="en-US"/>
        </w:rPr>
        <w:t>sharia</w:t>
      </w:r>
      <w:r w:rsidR="006572F5" w:rsidRPr="00CB216A">
        <w:rPr>
          <w:rFonts w:ascii="Times New Roman" w:eastAsia="Times New Roman" w:hAnsi="Times New Roman" w:cs="Times New Roman"/>
          <w:color w:val="222222"/>
          <w:sz w:val="24"/>
          <w:szCs w:val="24"/>
          <w:lang w:val="en-US"/>
        </w:rPr>
        <w:t xml:space="preserve">h </w:t>
      </w:r>
      <w:r w:rsidRPr="00CB216A">
        <w:rPr>
          <w:rFonts w:ascii="Times New Roman" w:eastAsia="Times New Roman" w:hAnsi="Times New Roman" w:cs="Times New Roman"/>
          <w:color w:val="222222"/>
          <w:sz w:val="24"/>
          <w:szCs w:val="24"/>
          <w:lang w:val="en-US"/>
        </w:rPr>
        <w:t>complian</w:t>
      </w:r>
      <w:r w:rsidR="006572F5" w:rsidRPr="00CB216A">
        <w:rPr>
          <w:rFonts w:ascii="Times New Roman" w:eastAsia="Times New Roman" w:hAnsi="Times New Roman" w:cs="Times New Roman"/>
          <w:color w:val="222222"/>
          <w:sz w:val="24"/>
          <w:szCs w:val="24"/>
          <w:lang w:val="en-US"/>
        </w:rPr>
        <w:t xml:space="preserve">ce. </w:t>
      </w:r>
      <w:r w:rsidRPr="00CB216A">
        <w:rPr>
          <w:rFonts w:ascii="Times New Roman" w:eastAsia="Times New Roman" w:hAnsi="Times New Roman" w:cs="Times New Roman"/>
          <w:color w:val="222222"/>
          <w:sz w:val="24"/>
          <w:szCs w:val="24"/>
          <w:lang w:val="en-US"/>
        </w:rPr>
        <w:t xml:space="preserve">Jakarta Islamic Index </w:t>
      </w:r>
      <w:r w:rsidR="006572F5" w:rsidRPr="00CB216A">
        <w:rPr>
          <w:rFonts w:ascii="Times New Roman" w:eastAsia="Times New Roman" w:hAnsi="Times New Roman" w:cs="Times New Roman"/>
          <w:color w:val="222222"/>
          <w:sz w:val="24"/>
          <w:szCs w:val="24"/>
          <w:lang w:val="en-US"/>
        </w:rPr>
        <w:t xml:space="preserve">(JII) </w:t>
      </w:r>
      <w:r w:rsidRPr="00CB216A">
        <w:rPr>
          <w:rFonts w:ascii="Times New Roman" w:eastAsia="Times New Roman" w:hAnsi="Times New Roman" w:cs="Times New Roman"/>
          <w:color w:val="222222"/>
          <w:sz w:val="24"/>
          <w:szCs w:val="24"/>
          <w:lang w:val="en-US"/>
        </w:rPr>
        <w:t xml:space="preserve">is one of the </w:t>
      </w:r>
      <w:r w:rsidR="006572F5" w:rsidRPr="00CB216A">
        <w:rPr>
          <w:rFonts w:ascii="Times New Roman" w:eastAsia="Times New Roman" w:hAnsi="Times New Roman" w:cs="Times New Roman"/>
          <w:color w:val="222222"/>
          <w:sz w:val="24"/>
          <w:szCs w:val="24"/>
          <w:lang w:val="en-US"/>
        </w:rPr>
        <w:t>Islamic stock indexes</w:t>
      </w:r>
      <w:r w:rsidRPr="00CB216A">
        <w:rPr>
          <w:rFonts w:ascii="Times New Roman" w:eastAsia="Times New Roman" w:hAnsi="Times New Roman" w:cs="Times New Roman"/>
          <w:color w:val="222222"/>
          <w:sz w:val="24"/>
          <w:szCs w:val="24"/>
          <w:lang w:val="en-US"/>
        </w:rPr>
        <w:t xml:space="preserve"> in the Indonesia Stock Exchange. The </w:t>
      </w:r>
      <w:r w:rsidR="006572F5" w:rsidRPr="00CB216A">
        <w:rPr>
          <w:rFonts w:ascii="Times New Roman" w:eastAsia="Times New Roman" w:hAnsi="Times New Roman" w:cs="Times New Roman"/>
          <w:color w:val="222222"/>
          <w:sz w:val="24"/>
          <w:szCs w:val="24"/>
          <w:lang w:val="en-US"/>
        </w:rPr>
        <w:t xml:space="preserve">JII </w:t>
      </w:r>
      <w:r w:rsidRPr="00CB216A">
        <w:rPr>
          <w:rFonts w:ascii="Times New Roman" w:eastAsia="Times New Roman" w:hAnsi="Times New Roman" w:cs="Times New Roman"/>
          <w:color w:val="222222"/>
          <w:sz w:val="24"/>
          <w:szCs w:val="24"/>
          <w:lang w:val="en-US"/>
        </w:rPr>
        <w:t xml:space="preserve">was first </w:t>
      </w:r>
      <w:r w:rsidR="00CB216A" w:rsidRPr="00CB216A">
        <w:rPr>
          <w:rFonts w:ascii="Times New Roman" w:eastAsia="Times New Roman" w:hAnsi="Times New Roman" w:cs="Times New Roman"/>
          <w:color w:val="222222"/>
          <w:sz w:val="24"/>
          <w:szCs w:val="24"/>
          <w:lang w:val="en-US"/>
        </w:rPr>
        <w:t>launched</w:t>
      </w:r>
      <w:r w:rsidR="006572F5" w:rsidRPr="00CB216A">
        <w:rPr>
          <w:rFonts w:ascii="Times New Roman" w:eastAsia="Times New Roman" w:hAnsi="Times New Roman" w:cs="Times New Roman"/>
          <w:color w:val="222222"/>
          <w:sz w:val="24"/>
          <w:szCs w:val="24"/>
          <w:lang w:val="en-US"/>
        </w:rPr>
        <w:t xml:space="preserve"> </w:t>
      </w:r>
      <w:r w:rsidRPr="00CB216A">
        <w:rPr>
          <w:rFonts w:ascii="Times New Roman" w:eastAsia="Times New Roman" w:hAnsi="Times New Roman" w:cs="Times New Roman"/>
          <w:color w:val="222222"/>
          <w:sz w:val="24"/>
          <w:szCs w:val="24"/>
          <w:lang w:val="en-US"/>
        </w:rPr>
        <w:t>on July 3, 2000 (Soemitra, 2014). PT. Jakarta Stock Exchange together with PT. Dana Reksa Investment Management launche</w:t>
      </w:r>
      <w:r w:rsidR="006572F5" w:rsidRPr="00CB216A">
        <w:rPr>
          <w:rFonts w:ascii="Times New Roman" w:eastAsia="Times New Roman" w:hAnsi="Times New Roman" w:cs="Times New Roman"/>
          <w:color w:val="222222"/>
          <w:sz w:val="24"/>
          <w:szCs w:val="24"/>
          <w:lang w:val="en-US"/>
        </w:rPr>
        <w:t>d</w:t>
      </w:r>
      <w:r w:rsidRPr="00CB216A">
        <w:rPr>
          <w:rFonts w:ascii="Times New Roman" w:eastAsia="Times New Roman" w:hAnsi="Times New Roman" w:cs="Times New Roman"/>
          <w:color w:val="222222"/>
          <w:sz w:val="24"/>
          <w:szCs w:val="24"/>
          <w:lang w:val="en-US"/>
        </w:rPr>
        <w:t xml:space="preserve"> </w:t>
      </w:r>
      <w:r w:rsidR="006572F5" w:rsidRPr="00CB216A">
        <w:rPr>
          <w:rFonts w:ascii="Times New Roman" w:eastAsia="Times New Roman" w:hAnsi="Times New Roman" w:cs="Times New Roman"/>
          <w:color w:val="222222"/>
          <w:sz w:val="24"/>
          <w:szCs w:val="24"/>
          <w:lang w:val="en-US"/>
        </w:rPr>
        <w:t xml:space="preserve">the </w:t>
      </w:r>
      <w:r w:rsidRPr="00CB216A">
        <w:rPr>
          <w:rFonts w:ascii="Times New Roman" w:eastAsia="Times New Roman" w:hAnsi="Times New Roman" w:cs="Times New Roman"/>
          <w:color w:val="222222"/>
          <w:sz w:val="24"/>
          <w:szCs w:val="24"/>
          <w:lang w:val="en-US"/>
        </w:rPr>
        <w:t>JII</w:t>
      </w:r>
      <w:r w:rsidR="006572F5" w:rsidRPr="00CB216A">
        <w:rPr>
          <w:rFonts w:ascii="Times New Roman" w:eastAsia="Times New Roman" w:hAnsi="Times New Roman" w:cs="Times New Roman"/>
          <w:color w:val="222222"/>
          <w:sz w:val="24"/>
          <w:szCs w:val="24"/>
          <w:lang w:val="en-US"/>
        </w:rPr>
        <w:t xml:space="preserve">, comprising </w:t>
      </w:r>
      <w:r w:rsidRPr="00CB216A">
        <w:rPr>
          <w:rFonts w:ascii="Times New Roman" w:eastAsia="Times New Roman" w:hAnsi="Times New Roman" w:cs="Times New Roman"/>
          <w:color w:val="222222"/>
          <w:sz w:val="24"/>
          <w:szCs w:val="24"/>
          <w:lang w:val="en-US"/>
        </w:rPr>
        <w:t>30 companies</w:t>
      </w:r>
      <w:r w:rsidR="006572F5" w:rsidRPr="00CB216A">
        <w:rPr>
          <w:rFonts w:ascii="Times New Roman" w:eastAsia="Times New Roman" w:hAnsi="Times New Roman" w:cs="Times New Roman"/>
          <w:color w:val="222222"/>
          <w:sz w:val="24"/>
          <w:szCs w:val="24"/>
          <w:lang w:val="en-US"/>
        </w:rPr>
        <w:t>. These companies are considered their</w:t>
      </w:r>
      <w:r w:rsidRPr="00CB216A">
        <w:rPr>
          <w:rFonts w:ascii="Times New Roman" w:eastAsia="Times New Roman" w:hAnsi="Times New Roman" w:cs="Times New Roman"/>
          <w:color w:val="222222"/>
          <w:sz w:val="24"/>
          <w:szCs w:val="24"/>
          <w:lang w:val="en-US"/>
        </w:rPr>
        <w:t xml:space="preserve"> operational activities </w:t>
      </w:r>
      <w:r w:rsidR="006572F5" w:rsidRPr="00CB216A">
        <w:rPr>
          <w:rFonts w:ascii="Times New Roman" w:eastAsia="Times New Roman" w:hAnsi="Times New Roman" w:cs="Times New Roman"/>
          <w:color w:val="222222"/>
          <w:sz w:val="24"/>
          <w:szCs w:val="24"/>
          <w:lang w:val="en-US"/>
        </w:rPr>
        <w:t xml:space="preserve">have been in harmony </w:t>
      </w:r>
      <w:r w:rsidRPr="00CB216A">
        <w:rPr>
          <w:rFonts w:ascii="Times New Roman" w:eastAsia="Times New Roman" w:hAnsi="Times New Roman" w:cs="Times New Roman"/>
          <w:color w:val="222222"/>
          <w:sz w:val="24"/>
          <w:szCs w:val="24"/>
          <w:lang w:val="en-US"/>
        </w:rPr>
        <w:t xml:space="preserve">with </w:t>
      </w:r>
      <w:r w:rsidR="006572F5" w:rsidRPr="00CB216A">
        <w:rPr>
          <w:rFonts w:ascii="Times New Roman" w:eastAsia="Times New Roman" w:hAnsi="Times New Roman" w:cs="Times New Roman"/>
          <w:color w:val="222222"/>
          <w:sz w:val="24"/>
          <w:szCs w:val="24"/>
          <w:lang w:val="en-US"/>
        </w:rPr>
        <w:t xml:space="preserve">the </w:t>
      </w:r>
      <w:r w:rsidRPr="00CB216A">
        <w:rPr>
          <w:rFonts w:ascii="Times New Roman" w:eastAsia="Times New Roman" w:hAnsi="Times New Roman" w:cs="Times New Roman"/>
          <w:color w:val="222222"/>
          <w:sz w:val="24"/>
          <w:szCs w:val="24"/>
          <w:lang w:val="en-US"/>
        </w:rPr>
        <w:t>Isla</w:t>
      </w:r>
      <w:r w:rsidRPr="00CB216A">
        <w:rPr>
          <w:rFonts w:ascii="Times New Roman" w:eastAsia="Times New Roman" w:hAnsi="Times New Roman" w:cs="Times New Roman"/>
          <w:color w:val="222222"/>
          <w:sz w:val="24"/>
          <w:szCs w:val="24"/>
          <w:lang w:val="en-US"/>
        </w:rPr>
        <w:t>mic principles (Huda and Nasution, 2014</w:t>
      </w:r>
      <w:r w:rsidR="006572F5" w:rsidRPr="00CB216A">
        <w:rPr>
          <w:rFonts w:ascii="Times New Roman" w:eastAsia="Times New Roman" w:hAnsi="Times New Roman" w:cs="Times New Roman"/>
          <w:color w:val="222222"/>
          <w:sz w:val="24"/>
          <w:szCs w:val="24"/>
          <w:lang w:val="en-US"/>
        </w:rPr>
        <w:t>, Majid</w:t>
      </w:r>
      <w:r w:rsidR="002513C1" w:rsidRPr="00CB216A">
        <w:rPr>
          <w:rFonts w:ascii="Times New Roman" w:eastAsia="Times New Roman" w:hAnsi="Times New Roman" w:cs="Times New Roman"/>
          <w:color w:val="222222"/>
          <w:sz w:val="24"/>
          <w:szCs w:val="24"/>
          <w:lang w:val="en-US"/>
        </w:rPr>
        <w:t>, 2016, Majid, 2018</w:t>
      </w:r>
      <w:r w:rsidRPr="00CB216A">
        <w:rPr>
          <w:rFonts w:ascii="Times New Roman" w:eastAsia="Times New Roman" w:hAnsi="Times New Roman" w:cs="Times New Roman"/>
          <w:color w:val="222222"/>
          <w:sz w:val="24"/>
          <w:szCs w:val="24"/>
          <w:lang w:val="en-US"/>
        </w:rPr>
        <w:t xml:space="preserve">). The selection of </w:t>
      </w:r>
      <w:r w:rsidR="006572F5" w:rsidRPr="00CB216A">
        <w:rPr>
          <w:rFonts w:ascii="Times New Roman" w:eastAsia="Times New Roman" w:hAnsi="Times New Roman" w:cs="Times New Roman"/>
          <w:color w:val="222222"/>
          <w:sz w:val="24"/>
          <w:szCs w:val="24"/>
          <w:lang w:val="en-US"/>
        </w:rPr>
        <w:t xml:space="preserve">Islamic </w:t>
      </w:r>
      <w:r w:rsidRPr="00CB216A">
        <w:rPr>
          <w:rFonts w:ascii="Times New Roman" w:eastAsia="Times New Roman" w:hAnsi="Times New Roman" w:cs="Times New Roman"/>
          <w:color w:val="222222"/>
          <w:sz w:val="24"/>
          <w:szCs w:val="24"/>
          <w:lang w:val="en-US"/>
        </w:rPr>
        <w:t>stock categories is</w:t>
      </w:r>
      <w:r w:rsidR="006572F5" w:rsidRPr="00CB216A">
        <w:rPr>
          <w:rFonts w:ascii="Times New Roman" w:eastAsia="Times New Roman" w:hAnsi="Times New Roman" w:cs="Times New Roman"/>
          <w:color w:val="222222"/>
          <w:sz w:val="24"/>
          <w:szCs w:val="24"/>
          <w:lang w:val="en-US"/>
        </w:rPr>
        <w:t xml:space="preserve"> determined</w:t>
      </w:r>
      <w:r w:rsidRPr="00CB216A">
        <w:rPr>
          <w:rFonts w:ascii="Times New Roman" w:eastAsia="Times New Roman" w:hAnsi="Times New Roman" w:cs="Times New Roman"/>
          <w:color w:val="222222"/>
          <w:sz w:val="24"/>
          <w:szCs w:val="24"/>
          <w:lang w:val="en-US"/>
        </w:rPr>
        <w:t xml:space="preserve"> based on certain criteria</w:t>
      </w:r>
      <w:r w:rsidR="006572F5" w:rsidRPr="00CB216A">
        <w:rPr>
          <w:rFonts w:ascii="Times New Roman" w:eastAsia="Times New Roman" w:hAnsi="Times New Roman" w:cs="Times New Roman"/>
          <w:color w:val="222222"/>
          <w:sz w:val="24"/>
          <w:szCs w:val="24"/>
          <w:lang w:val="en-US"/>
        </w:rPr>
        <w:t xml:space="preserve">. These criteria include the </w:t>
      </w:r>
      <w:r w:rsidR="002513C1" w:rsidRPr="00CB216A">
        <w:rPr>
          <w:rFonts w:ascii="Times New Roman" w:eastAsia="Times New Roman" w:hAnsi="Times New Roman" w:cs="Times New Roman"/>
          <w:color w:val="222222"/>
          <w:sz w:val="24"/>
          <w:szCs w:val="24"/>
          <w:lang w:val="en-US"/>
        </w:rPr>
        <w:t>company’s</w:t>
      </w:r>
      <w:r w:rsidR="006572F5" w:rsidRPr="00CB216A">
        <w:rPr>
          <w:rFonts w:ascii="Times New Roman" w:eastAsia="Times New Roman" w:hAnsi="Times New Roman" w:cs="Times New Roman"/>
          <w:color w:val="222222"/>
          <w:sz w:val="24"/>
          <w:szCs w:val="24"/>
          <w:lang w:val="en-US"/>
        </w:rPr>
        <w:t xml:space="preserve"> core activities that are free from interest (</w:t>
      </w:r>
      <w:r w:rsidR="006572F5" w:rsidRPr="00CB216A">
        <w:rPr>
          <w:rFonts w:ascii="Times New Roman" w:eastAsia="Times New Roman" w:hAnsi="Times New Roman" w:cs="Times New Roman"/>
          <w:i/>
          <w:color w:val="222222"/>
          <w:sz w:val="24"/>
          <w:szCs w:val="24"/>
          <w:lang w:val="en-US"/>
        </w:rPr>
        <w:t>riba</w:t>
      </w:r>
      <w:r w:rsidR="006572F5" w:rsidRPr="00CB216A">
        <w:rPr>
          <w:rFonts w:ascii="Times New Roman" w:eastAsia="Times New Roman" w:hAnsi="Times New Roman" w:cs="Times New Roman"/>
          <w:color w:val="222222"/>
          <w:sz w:val="24"/>
          <w:szCs w:val="24"/>
          <w:lang w:val="en-US"/>
        </w:rPr>
        <w:t>), uncertainty (</w:t>
      </w:r>
      <w:r w:rsidR="006572F5" w:rsidRPr="00CB216A">
        <w:rPr>
          <w:rFonts w:ascii="Times New Roman" w:eastAsia="Times New Roman" w:hAnsi="Times New Roman" w:cs="Times New Roman"/>
          <w:i/>
          <w:color w:val="222222"/>
          <w:sz w:val="24"/>
          <w:szCs w:val="24"/>
          <w:lang w:val="en-US"/>
        </w:rPr>
        <w:t>gharar</w:t>
      </w:r>
      <w:r w:rsidR="006572F5" w:rsidRPr="00CB216A">
        <w:rPr>
          <w:rFonts w:ascii="Times New Roman" w:eastAsia="Times New Roman" w:hAnsi="Times New Roman" w:cs="Times New Roman"/>
          <w:color w:val="222222"/>
          <w:sz w:val="24"/>
          <w:szCs w:val="24"/>
          <w:lang w:val="en-US"/>
        </w:rPr>
        <w:t>), and gambling (</w:t>
      </w:r>
      <w:r w:rsidR="006572F5" w:rsidRPr="00CB216A">
        <w:rPr>
          <w:rFonts w:ascii="Times New Roman" w:eastAsia="Times New Roman" w:hAnsi="Times New Roman" w:cs="Times New Roman"/>
          <w:i/>
          <w:color w:val="222222"/>
          <w:sz w:val="24"/>
          <w:szCs w:val="24"/>
          <w:lang w:val="en-US"/>
        </w:rPr>
        <w:t>maysir</w:t>
      </w:r>
      <w:r w:rsidR="006572F5" w:rsidRPr="00CB216A">
        <w:rPr>
          <w:rFonts w:ascii="Times New Roman" w:eastAsia="Times New Roman" w:hAnsi="Times New Roman" w:cs="Times New Roman"/>
          <w:color w:val="222222"/>
          <w:sz w:val="24"/>
          <w:szCs w:val="24"/>
          <w:lang w:val="en-US"/>
        </w:rPr>
        <w:t>)</w:t>
      </w:r>
      <w:r w:rsidR="002513C1" w:rsidRPr="00CB216A">
        <w:rPr>
          <w:rFonts w:ascii="Times New Roman" w:eastAsia="Times New Roman" w:hAnsi="Times New Roman" w:cs="Times New Roman"/>
          <w:color w:val="222222"/>
          <w:sz w:val="24"/>
          <w:szCs w:val="24"/>
          <w:lang w:val="en-US"/>
        </w:rPr>
        <w:t xml:space="preserve"> and financial performance that is below the </w:t>
      </w:r>
      <w:r w:rsidR="00CB216A" w:rsidRPr="00CB216A">
        <w:rPr>
          <w:rFonts w:ascii="Times New Roman" w:eastAsia="Times New Roman" w:hAnsi="Times New Roman" w:cs="Times New Roman"/>
          <w:color w:val="222222"/>
          <w:sz w:val="24"/>
          <w:szCs w:val="24"/>
          <w:lang w:val="en-US"/>
        </w:rPr>
        <w:t>threshold</w:t>
      </w:r>
      <w:r w:rsidR="002513C1" w:rsidRPr="00CB216A">
        <w:rPr>
          <w:rFonts w:ascii="Times New Roman" w:eastAsia="Times New Roman" w:hAnsi="Times New Roman" w:cs="Times New Roman"/>
          <w:color w:val="222222"/>
          <w:sz w:val="24"/>
          <w:szCs w:val="24"/>
          <w:lang w:val="en-US"/>
        </w:rPr>
        <w:t xml:space="preserve"> values</w:t>
      </w:r>
      <w:r w:rsidRPr="00CB216A">
        <w:rPr>
          <w:rFonts w:ascii="Times New Roman" w:eastAsia="Times New Roman" w:hAnsi="Times New Roman" w:cs="Times New Roman"/>
          <w:color w:val="222222"/>
          <w:sz w:val="24"/>
          <w:szCs w:val="24"/>
          <w:lang w:val="en-US"/>
        </w:rPr>
        <w:t xml:space="preserve">. </w:t>
      </w:r>
      <w:r w:rsidR="002513C1" w:rsidRPr="00CB216A">
        <w:rPr>
          <w:rFonts w:ascii="Times New Roman" w:eastAsia="Times New Roman" w:hAnsi="Times New Roman" w:cs="Times New Roman"/>
          <w:color w:val="222222"/>
          <w:sz w:val="24"/>
          <w:szCs w:val="24"/>
          <w:lang w:val="en-US"/>
        </w:rPr>
        <w:t xml:space="preserve">The presence of Islamic stocks provides an avenue for </w:t>
      </w:r>
      <w:r w:rsidR="002513C1" w:rsidRPr="00CB216A">
        <w:rPr>
          <w:rFonts w:ascii="Times New Roman" w:eastAsia="Times New Roman" w:hAnsi="Times New Roman" w:cs="Times New Roman"/>
          <w:color w:val="222222"/>
          <w:sz w:val="24"/>
          <w:szCs w:val="24"/>
          <w:lang w:val="en-US"/>
        </w:rPr>
        <w:lastRenderedPageBreak/>
        <w:t xml:space="preserve">Muslim </w:t>
      </w:r>
      <w:r w:rsidRPr="00CB216A">
        <w:rPr>
          <w:rFonts w:ascii="Times New Roman" w:eastAsia="Times New Roman" w:hAnsi="Times New Roman" w:cs="Times New Roman"/>
          <w:color w:val="222222"/>
          <w:sz w:val="24"/>
          <w:szCs w:val="24"/>
          <w:lang w:val="en-US"/>
        </w:rPr>
        <w:t xml:space="preserve">investors to invest </w:t>
      </w:r>
      <w:r w:rsidR="002513C1" w:rsidRPr="00CB216A">
        <w:rPr>
          <w:rFonts w:ascii="Times New Roman" w:eastAsia="Times New Roman" w:hAnsi="Times New Roman" w:cs="Times New Roman"/>
          <w:color w:val="222222"/>
          <w:sz w:val="24"/>
          <w:szCs w:val="24"/>
          <w:lang w:val="en-US"/>
        </w:rPr>
        <w:t xml:space="preserve">their monies </w:t>
      </w:r>
      <w:r w:rsidRPr="00CB216A">
        <w:rPr>
          <w:rFonts w:ascii="Times New Roman" w:eastAsia="Times New Roman" w:hAnsi="Times New Roman" w:cs="Times New Roman"/>
          <w:color w:val="222222"/>
          <w:sz w:val="24"/>
          <w:szCs w:val="24"/>
          <w:lang w:val="en-US"/>
        </w:rPr>
        <w:t>in</w:t>
      </w:r>
      <w:r w:rsidR="002513C1" w:rsidRPr="00CB216A">
        <w:rPr>
          <w:rFonts w:ascii="Times New Roman" w:eastAsia="Times New Roman" w:hAnsi="Times New Roman" w:cs="Times New Roman"/>
          <w:color w:val="222222"/>
          <w:sz w:val="24"/>
          <w:szCs w:val="24"/>
          <w:lang w:val="en-US"/>
        </w:rPr>
        <w:t xml:space="preserve"> accordance with the principles of Islamic transactions (</w:t>
      </w:r>
      <w:r w:rsidR="002513C1" w:rsidRPr="00CB216A">
        <w:rPr>
          <w:rFonts w:ascii="Times New Roman" w:eastAsia="Times New Roman" w:hAnsi="Times New Roman" w:cs="Times New Roman"/>
          <w:i/>
          <w:color w:val="222222"/>
          <w:sz w:val="24"/>
          <w:szCs w:val="24"/>
          <w:lang w:val="en-US"/>
        </w:rPr>
        <w:t>muamalah</w:t>
      </w:r>
      <w:r w:rsidR="002513C1" w:rsidRPr="00CB216A">
        <w:rPr>
          <w:rFonts w:ascii="Times New Roman" w:eastAsia="Times New Roman" w:hAnsi="Times New Roman" w:cs="Times New Roman"/>
          <w:color w:val="222222"/>
          <w:sz w:val="24"/>
          <w:szCs w:val="24"/>
          <w:lang w:val="en-US"/>
        </w:rPr>
        <w:t>)</w:t>
      </w:r>
      <w:r w:rsidRPr="00CB216A">
        <w:rPr>
          <w:rFonts w:ascii="Times New Roman" w:eastAsia="Times New Roman" w:hAnsi="Times New Roman" w:cs="Times New Roman"/>
          <w:color w:val="222222"/>
          <w:sz w:val="24"/>
          <w:szCs w:val="24"/>
          <w:lang w:val="en-US"/>
        </w:rPr>
        <w:t>.</w:t>
      </w:r>
    </w:p>
    <w:p w:rsidR="00A368AF" w:rsidRPr="00CB216A" w:rsidRDefault="0046403F" w:rsidP="002513C1">
      <w:pPr>
        <w:shd w:val="clear" w:color="auto" w:fill="FFFFFF" w:themeFill="background1"/>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Table 3 illustrates the descriptive statistics of investigated variables. The</w:t>
      </w:r>
      <w:r w:rsidR="009B1198" w:rsidRPr="00CB216A">
        <w:rPr>
          <w:rFonts w:ascii="Times New Roman" w:eastAsia="Times New Roman" w:hAnsi="Times New Roman" w:cs="Times New Roman"/>
          <w:color w:val="222222"/>
          <w:sz w:val="24"/>
          <w:szCs w:val="24"/>
          <w:lang w:val="en-US"/>
        </w:rPr>
        <w:t xml:space="preserve"> descriptive statistics</w:t>
      </w:r>
      <w:r w:rsidRPr="00CB216A">
        <w:rPr>
          <w:rFonts w:ascii="Times New Roman" w:eastAsia="Times New Roman" w:hAnsi="Times New Roman" w:cs="Times New Roman"/>
          <w:color w:val="222222"/>
          <w:sz w:val="24"/>
          <w:szCs w:val="24"/>
          <w:lang w:val="en-US"/>
        </w:rPr>
        <w:t xml:space="preserve"> </w:t>
      </w:r>
      <w:r w:rsidR="009B1198" w:rsidRPr="00CB216A">
        <w:rPr>
          <w:rFonts w:ascii="Times New Roman" w:eastAsia="Times New Roman" w:hAnsi="Times New Roman" w:cs="Times New Roman"/>
          <w:color w:val="222222"/>
          <w:sz w:val="24"/>
          <w:szCs w:val="24"/>
          <w:lang w:val="en-US"/>
        </w:rPr>
        <w:t xml:space="preserve">describe trends of the variables, covering </w:t>
      </w:r>
      <w:r w:rsidRPr="00CB216A">
        <w:rPr>
          <w:rFonts w:ascii="Times New Roman" w:eastAsia="Times New Roman" w:hAnsi="Times New Roman" w:cs="Times New Roman"/>
          <w:color w:val="222222"/>
          <w:sz w:val="24"/>
          <w:szCs w:val="24"/>
          <w:lang w:val="en-US"/>
        </w:rPr>
        <w:t>the</w:t>
      </w:r>
      <w:r w:rsidR="009B1198" w:rsidRPr="00CB216A">
        <w:rPr>
          <w:rFonts w:ascii="Times New Roman" w:eastAsia="Times New Roman" w:hAnsi="Times New Roman" w:cs="Times New Roman"/>
          <w:color w:val="222222"/>
          <w:sz w:val="24"/>
          <w:szCs w:val="24"/>
          <w:lang w:val="en-US"/>
        </w:rPr>
        <w:t>ir</w:t>
      </w:r>
      <w:r w:rsidRPr="00CB216A">
        <w:rPr>
          <w:rFonts w:ascii="Times New Roman" w:eastAsia="Times New Roman" w:hAnsi="Times New Roman" w:cs="Times New Roman"/>
          <w:color w:val="222222"/>
          <w:sz w:val="24"/>
          <w:szCs w:val="24"/>
          <w:lang w:val="en-US"/>
        </w:rPr>
        <w:t xml:space="preserve"> minimum</w:t>
      </w:r>
      <w:r w:rsidR="009B1198" w:rsidRPr="00CB216A">
        <w:rPr>
          <w:rFonts w:ascii="Times New Roman" w:eastAsia="Times New Roman" w:hAnsi="Times New Roman" w:cs="Times New Roman"/>
          <w:color w:val="222222"/>
          <w:sz w:val="24"/>
          <w:szCs w:val="24"/>
          <w:lang w:val="en-US"/>
        </w:rPr>
        <w:t xml:space="preserve">, </w:t>
      </w:r>
      <w:r w:rsidRPr="00CB216A">
        <w:rPr>
          <w:rFonts w:ascii="Times New Roman" w:eastAsia="Times New Roman" w:hAnsi="Times New Roman" w:cs="Times New Roman"/>
          <w:color w:val="222222"/>
          <w:sz w:val="24"/>
          <w:szCs w:val="24"/>
          <w:lang w:val="en-US"/>
        </w:rPr>
        <w:t>maximum</w:t>
      </w:r>
      <w:r w:rsidR="009B1198" w:rsidRPr="00CB216A">
        <w:rPr>
          <w:rFonts w:ascii="Times New Roman" w:eastAsia="Times New Roman" w:hAnsi="Times New Roman" w:cs="Times New Roman"/>
          <w:color w:val="222222"/>
          <w:sz w:val="24"/>
          <w:szCs w:val="24"/>
          <w:lang w:val="en-US"/>
        </w:rPr>
        <w:t xml:space="preserve">, and mean values as well as the dispersion of </w:t>
      </w:r>
      <w:r w:rsidRPr="00CB216A">
        <w:rPr>
          <w:rFonts w:ascii="Times New Roman" w:eastAsia="Times New Roman" w:hAnsi="Times New Roman" w:cs="Times New Roman"/>
          <w:color w:val="222222"/>
          <w:sz w:val="24"/>
          <w:szCs w:val="24"/>
          <w:lang w:val="en-US"/>
        </w:rPr>
        <w:t>variable</w:t>
      </w:r>
      <w:r w:rsidR="009B1198" w:rsidRPr="00CB216A">
        <w:rPr>
          <w:rFonts w:ascii="Times New Roman" w:eastAsia="Times New Roman" w:hAnsi="Times New Roman" w:cs="Times New Roman"/>
          <w:color w:val="222222"/>
          <w:sz w:val="24"/>
          <w:szCs w:val="24"/>
          <w:lang w:val="en-US"/>
        </w:rPr>
        <w:t xml:space="preserve">s (standard deviation). </w:t>
      </w:r>
    </w:p>
    <w:p w:rsidR="003C0AD9" w:rsidRPr="00CB216A" w:rsidRDefault="0046403F" w:rsidP="002513C1">
      <w:pPr>
        <w:widowControl w:val="0"/>
        <w:shd w:val="clear" w:color="auto" w:fill="FFFFFF" w:themeFill="background1"/>
        <w:autoSpaceDE w:val="0"/>
        <w:autoSpaceDN w:val="0"/>
        <w:adjustRightInd w:val="0"/>
        <w:spacing w:after="0"/>
        <w:jc w:val="center"/>
        <w:rPr>
          <w:rFonts w:ascii="Times New Roman" w:hAnsi="Times New Roman"/>
          <w:sz w:val="24"/>
          <w:szCs w:val="24"/>
          <w:lang w:val="en-US"/>
        </w:rPr>
      </w:pPr>
      <w:r w:rsidRPr="00CB216A">
        <w:rPr>
          <w:rFonts w:ascii="Times New Roman" w:hAnsi="Times New Roman"/>
          <w:sz w:val="24"/>
          <w:szCs w:val="24"/>
          <w:lang w:val="en-US"/>
        </w:rPr>
        <w:t>Table 3</w:t>
      </w:r>
      <w:r w:rsidRPr="00CB216A">
        <w:rPr>
          <w:rFonts w:ascii="Times New Roman" w:hAnsi="Times New Roman"/>
          <w:sz w:val="24"/>
          <w:szCs w:val="24"/>
          <w:lang w:val="en-US"/>
        </w:rPr>
        <w:t>. Descriptive Statistics of the Variables</w:t>
      </w:r>
    </w:p>
    <w:tbl>
      <w:tblPr>
        <w:tblStyle w:val="TableGrid"/>
        <w:tblW w:w="4714" w:type="pct"/>
        <w:tblInd w:w="534" w:type="dxa"/>
        <w:tblBorders>
          <w:left w:val="none" w:sz="0" w:space="0" w:color="auto"/>
          <w:right w:val="none" w:sz="0" w:space="0" w:color="auto"/>
          <w:insideH w:val="none" w:sz="0" w:space="0" w:color="auto"/>
          <w:insideV w:val="none" w:sz="0" w:space="0" w:color="auto"/>
        </w:tblBorders>
        <w:tblLook w:val="0000"/>
      </w:tblPr>
      <w:tblGrid>
        <w:gridCol w:w="2001"/>
        <w:gridCol w:w="1225"/>
        <w:gridCol w:w="1231"/>
        <w:gridCol w:w="866"/>
        <w:gridCol w:w="1989"/>
      </w:tblGrid>
      <w:tr w:rsidR="00A91EE8" w:rsidTr="00D054A7">
        <w:trPr>
          <w:trHeight w:val="170"/>
        </w:trPr>
        <w:tc>
          <w:tcPr>
            <w:tcW w:w="1368" w:type="pct"/>
            <w:tcBorders>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b/>
                <w:sz w:val="20"/>
                <w:szCs w:val="20"/>
                <w:lang w:val="en-US"/>
              </w:rPr>
            </w:pPr>
            <w:r w:rsidRPr="00CB216A">
              <w:rPr>
                <w:rFonts w:ascii="Times New Roman" w:hAnsi="Times New Roman" w:cs="Times New Roman"/>
                <w:b/>
                <w:sz w:val="20"/>
                <w:szCs w:val="20"/>
                <w:lang w:val="en-US"/>
              </w:rPr>
              <w:t>Variable</w:t>
            </w:r>
          </w:p>
        </w:tc>
        <w:tc>
          <w:tcPr>
            <w:tcW w:w="838" w:type="pct"/>
            <w:tcBorders>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Minimum</w:t>
            </w:r>
          </w:p>
        </w:tc>
        <w:tc>
          <w:tcPr>
            <w:tcW w:w="842" w:type="pct"/>
            <w:tcBorders>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Maximum</w:t>
            </w:r>
          </w:p>
        </w:tc>
        <w:tc>
          <w:tcPr>
            <w:tcW w:w="592" w:type="pct"/>
            <w:tcBorders>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Mean</w:t>
            </w:r>
          </w:p>
        </w:tc>
        <w:tc>
          <w:tcPr>
            <w:tcW w:w="1360" w:type="pct"/>
            <w:tcBorders>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b/>
                <w:color w:val="000000"/>
                <w:sz w:val="20"/>
                <w:szCs w:val="20"/>
                <w:lang w:val="en-US"/>
              </w:rPr>
            </w:pPr>
            <w:r w:rsidRPr="00CB216A">
              <w:rPr>
                <w:rFonts w:ascii="Times New Roman" w:hAnsi="Times New Roman" w:cs="Times New Roman"/>
                <w:b/>
                <w:color w:val="000000"/>
                <w:sz w:val="20"/>
                <w:szCs w:val="20"/>
                <w:lang w:val="en-US"/>
              </w:rPr>
              <w:t>St</w:t>
            </w:r>
            <w:r w:rsidR="00D054A7" w:rsidRPr="00CB216A">
              <w:rPr>
                <w:rFonts w:ascii="Times New Roman" w:hAnsi="Times New Roman" w:cs="Times New Roman"/>
                <w:b/>
                <w:color w:val="000000"/>
                <w:sz w:val="20"/>
                <w:szCs w:val="20"/>
                <w:lang w:val="en-US"/>
              </w:rPr>
              <w:t>an</w:t>
            </w:r>
            <w:r w:rsidRPr="00CB216A">
              <w:rPr>
                <w:rFonts w:ascii="Times New Roman" w:hAnsi="Times New Roman" w:cs="Times New Roman"/>
                <w:b/>
                <w:color w:val="000000"/>
                <w:sz w:val="20"/>
                <w:szCs w:val="20"/>
                <w:lang w:val="en-US"/>
              </w:rPr>
              <w:t>d</w:t>
            </w:r>
            <w:r w:rsidR="00D054A7" w:rsidRPr="00CB216A">
              <w:rPr>
                <w:rFonts w:ascii="Times New Roman" w:hAnsi="Times New Roman" w:cs="Times New Roman"/>
                <w:b/>
                <w:color w:val="000000"/>
                <w:sz w:val="20"/>
                <w:szCs w:val="20"/>
                <w:lang w:val="en-US"/>
              </w:rPr>
              <w:t>ard</w:t>
            </w:r>
            <w:r w:rsidRPr="00CB216A">
              <w:rPr>
                <w:rFonts w:ascii="Times New Roman" w:hAnsi="Times New Roman" w:cs="Times New Roman"/>
                <w:b/>
                <w:color w:val="000000"/>
                <w:sz w:val="20"/>
                <w:szCs w:val="20"/>
                <w:lang w:val="en-US"/>
              </w:rPr>
              <w:t xml:space="preserve"> Deviation</w:t>
            </w:r>
          </w:p>
        </w:tc>
      </w:tr>
      <w:tr w:rsidR="00A91EE8" w:rsidTr="00D054A7">
        <w:trPr>
          <w:trHeight w:val="170"/>
        </w:trPr>
        <w:tc>
          <w:tcPr>
            <w:tcW w:w="136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Islamic Stock Returns</w:t>
            </w:r>
          </w:p>
        </w:tc>
        <w:tc>
          <w:tcPr>
            <w:tcW w:w="83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500</w:t>
            </w:r>
          </w:p>
        </w:tc>
        <w:tc>
          <w:tcPr>
            <w:tcW w:w="84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460</w:t>
            </w:r>
          </w:p>
        </w:tc>
        <w:tc>
          <w:tcPr>
            <w:tcW w:w="59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063</w:t>
            </w:r>
          </w:p>
        </w:tc>
        <w:tc>
          <w:tcPr>
            <w:tcW w:w="1360"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216</w:t>
            </w:r>
          </w:p>
        </w:tc>
      </w:tr>
      <w:tr w:rsidR="00A91EE8" w:rsidTr="00D054A7">
        <w:trPr>
          <w:trHeight w:val="170"/>
        </w:trPr>
        <w:tc>
          <w:tcPr>
            <w:tcW w:w="136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Profitability</w:t>
            </w:r>
          </w:p>
        </w:tc>
        <w:tc>
          <w:tcPr>
            <w:tcW w:w="83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030</w:t>
            </w:r>
          </w:p>
        </w:tc>
        <w:tc>
          <w:tcPr>
            <w:tcW w:w="84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360</w:t>
            </w:r>
          </w:p>
        </w:tc>
        <w:tc>
          <w:tcPr>
            <w:tcW w:w="59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213</w:t>
            </w:r>
          </w:p>
        </w:tc>
        <w:tc>
          <w:tcPr>
            <w:tcW w:w="1360"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277</w:t>
            </w:r>
          </w:p>
        </w:tc>
      </w:tr>
      <w:tr w:rsidR="00A91EE8" w:rsidTr="00D054A7">
        <w:trPr>
          <w:trHeight w:val="170"/>
        </w:trPr>
        <w:tc>
          <w:tcPr>
            <w:tcW w:w="136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Liquidity</w:t>
            </w:r>
          </w:p>
        </w:tc>
        <w:tc>
          <w:tcPr>
            <w:tcW w:w="83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010</w:t>
            </w:r>
          </w:p>
        </w:tc>
        <w:tc>
          <w:tcPr>
            <w:tcW w:w="84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4</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510</w:t>
            </w:r>
          </w:p>
        </w:tc>
        <w:tc>
          <w:tcPr>
            <w:tcW w:w="59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930</w:t>
            </w:r>
          </w:p>
        </w:tc>
        <w:tc>
          <w:tcPr>
            <w:tcW w:w="1360"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676</w:t>
            </w:r>
          </w:p>
        </w:tc>
      </w:tr>
      <w:tr w:rsidR="00A91EE8" w:rsidTr="00D054A7">
        <w:trPr>
          <w:trHeight w:val="170"/>
        </w:trPr>
        <w:tc>
          <w:tcPr>
            <w:tcW w:w="136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Solvency</w:t>
            </w:r>
          </w:p>
        </w:tc>
        <w:tc>
          <w:tcPr>
            <w:tcW w:w="838"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002</w:t>
            </w:r>
          </w:p>
        </w:tc>
        <w:tc>
          <w:tcPr>
            <w:tcW w:w="84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096</w:t>
            </w:r>
          </w:p>
        </w:tc>
        <w:tc>
          <w:tcPr>
            <w:tcW w:w="592"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010</w:t>
            </w:r>
          </w:p>
        </w:tc>
        <w:tc>
          <w:tcPr>
            <w:tcW w:w="1360" w:type="pct"/>
            <w:tcBorders>
              <w:top w:val="single" w:sz="4" w:space="0" w:color="auto"/>
              <w:bottom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011</w:t>
            </w:r>
          </w:p>
        </w:tc>
      </w:tr>
      <w:tr w:rsidR="00A91EE8" w:rsidTr="00D054A7">
        <w:trPr>
          <w:trHeight w:val="170"/>
        </w:trPr>
        <w:tc>
          <w:tcPr>
            <w:tcW w:w="1368" w:type="pct"/>
            <w:tcBorders>
              <w:top w:val="single" w:sz="4" w:space="0" w:color="auto"/>
            </w:tcBorders>
          </w:tcPr>
          <w:p w:rsidR="003C0AD9" w:rsidRPr="00CB216A" w:rsidRDefault="0046403F" w:rsidP="002513C1">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 xml:space="preserve">Firm </w:t>
            </w:r>
            <w:r w:rsidRPr="00CB216A">
              <w:rPr>
                <w:rFonts w:ascii="Times New Roman" w:hAnsi="Times New Roman" w:cs="Times New Roman"/>
                <w:color w:val="000000"/>
                <w:sz w:val="20"/>
                <w:szCs w:val="20"/>
                <w:lang w:val="en-US"/>
              </w:rPr>
              <w:t>Size</w:t>
            </w:r>
          </w:p>
        </w:tc>
        <w:tc>
          <w:tcPr>
            <w:tcW w:w="838" w:type="pct"/>
            <w:tcBorders>
              <w:top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15</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891</w:t>
            </w:r>
          </w:p>
        </w:tc>
        <w:tc>
          <w:tcPr>
            <w:tcW w:w="842" w:type="pct"/>
            <w:tcBorders>
              <w:top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19</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504</w:t>
            </w:r>
          </w:p>
        </w:tc>
        <w:tc>
          <w:tcPr>
            <w:tcW w:w="592" w:type="pct"/>
            <w:tcBorders>
              <w:top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17</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585</w:t>
            </w:r>
          </w:p>
        </w:tc>
        <w:tc>
          <w:tcPr>
            <w:tcW w:w="1360" w:type="pct"/>
            <w:tcBorders>
              <w:top w:val="single" w:sz="4" w:space="0" w:color="auto"/>
            </w:tcBorders>
          </w:tcPr>
          <w:p w:rsidR="003C0AD9" w:rsidRPr="00CB216A" w:rsidRDefault="0046403F" w:rsidP="002513C1">
            <w:pPr>
              <w:shd w:val="clear" w:color="auto" w:fill="FFFFFF" w:themeFill="background1"/>
              <w:autoSpaceDE w:val="0"/>
              <w:autoSpaceDN w:val="0"/>
              <w:adjustRightInd w:val="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w:t>
            </w:r>
            <w:r w:rsidR="00D054A7" w:rsidRPr="00CB216A">
              <w:rPr>
                <w:rFonts w:ascii="Times New Roman" w:hAnsi="Times New Roman" w:cs="Times New Roman"/>
                <w:color w:val="000000"/>
                <w:sz w:val="20"/>
                <w:szCs w:val="20"/>
                <w:lang w:val="en-US"/>
              </w:rPr>
              <w:t>.</w:t>
            </w:r>
            <w:r w:rsidRPr="00CB216A">
              <w:rPr>
                <w:rFonts w:ascii="Times New Roman" w:hAnsi="Times New Roman" w:cs="Times New Roman"/>
                <w:color w:val="000000"/>
                <w:sz w:val="20"/>
                <w:szCs w:val="20"/>
                <w:lang w:val="en-US"/>
              </w:rPr>
              <w:t>905</w:t>
            </w:r>
          </w:p>
        </w:tc>
      </w:tr>
    </w:tbl>
    <w:p w:rsidR="00D054A7" w:rsidRPr="00CB216A" w:rsidRDefault="0046403F" w:rsidP="002513C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 xml:space="preserve">As illustrated in Table 3, the minimum value for stock returns was -50%, which is </w:t>
      </w:r>
      <w:r w:rsidR="00CB216A" w:rsidRPr="00CB216A">
        <w:rPr>
          <w:rFonts w:ascii="Times New Roman" w:eastAsia="Times New Roman" w:hAnsi="Times New Roman" w:cs="Times New Roman"/>
          <w:color w:val="222222"/>
          <w:sz w:val="24"/>
          <w:szCs w:val="24"/>
          <w:lang w:val="en-US"/>
        </w:rPr>
        <w:t>recorded</w:t>
      </w:r>
      <w:r w:rsidRPr="00CB216A">
        <w:rPr>
          <w:rFonts w:ascii="Times New Roman" w:eastAsia="Times New Roman" w:hAnsi="Times New Roman" w:cs="Times New Roman"/>
          <w:color w:val="222222"/>
          <w:sz w:val="24"/>
          <w:szCs w:val="24"/>
          <w:lang w:val="en-US"/>
        </w:rPr>
        <w:t xml:space="preserve"> by the Adaro Energi Tbk in 2015, while the maximum value was 46%, which recorded by Kalbe Farma Tbk in 2014. The average value of Islamic stock returns was 6.3% and </w:t>
      </w:r>
      <w:r w:rsidR="00CB32E3" w:rsidRPr="00CB216A">
        <w:rPr>
          <w:rFonts w:ascii="Times New Roman" w:eastAsia="Times New Roman" w:hAnsi="Times New Roman" w:cs="Times New Roman"/>
          <w:color w:val="222222"/>
          <w:sz w:val="24"/>
          <w:szCs w:val="24"/>
          <w:lang w:val="en-US"/>
        </w:rPr>
        <w:t xml:space="preserve">its </w:t>
      </w:r>
      <w:r w:rsidRPr="00CB216A">
        <w:rPr>
          <w:rFonts w:ascii="Times New Roman" w:eastAsia="Times New Roman" w:hAnsi="Times New Roman" w:cs="Times New Roman"/>
          <w:color w:val="222222"/>
          <w:sz w:val="24"/>
          <w:szCs w:val="24"/>
          <w:lang w:val="en-US"/>
        </w:rPr>
        <w:t xml:space="preserve">standard deviation </w:t>
      </w:r>
      <w:r w:rsidR="00CB32E3" w:rsidRPr="00CB216A">
        <w:rPr>
          <w:rFonts w:ascii="Times New Roman" w:eastAsia="Times New Roman" w:hAnsi="Times New Roman" w:cs="Times New Roman"/>
          <w:color w:val="222222"/>
          <w:sz w:val="24"/>
          <w:szCs w:val="24"/>
          <w:lang w:val="en-US"/>
        </w:rPr>
        <w:t>was</w:t>
      </w:r>
      <w:r w:rsidRPr="00CB216A">
        <w:rPr>
          <w:rFonts w:ascii="Times New Roman" w:eastAsia="Times New Roman" w:hAnsi="Times New Roman" w:cs="Times New Roman"/>
          <w:color w:val="222222"/>
          <w:sz w:val="24"/>
          <w:szCs w:val="24"/>
          <w:lang w:val="en-US"/>
        </w:rPr>
        <w:t xml:space="preserve"> 21.6%. This showed that the returns across the 30 Islamic stock</w:t>
      </w:r>
      <w:r w:rsidRPr="00CB216A">
        <w:rPr>
          <w:rFonts w:ascii="Times New Roman" w:eastAsia="Times New Roman" w:hAnsi="Times New Roman" w:cs="Times New Roman"/>
          <w:color w:val="222222"/>
          <w:sz w:val="24"/>
          <w:szCs w:val="24"/>
          <w:lang w:val="en-US"/>
        </w:rPr>
        <w:t xml:space="preserve">s in JII have differed from one stock to another.    </w:t>
      </w:r>
    </w:p>
    <w:p w:rsidR="00CB32E3" w:rsidRPr="00CB216A" w:rsidRDefault="0046403F" w:rsidP="002513C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Furthermore, the minimum value for profitability was 0.030, recorded by Lippo Karawaci Tbk in 2017, while the maximum value was 1.360, documented by the Unilever Indonesia Tbk in 2016. The average value</w:t>
      </w:r>
      <w:r w:rsidRPr="00CB216A">
        <w:rPr>
          <w:rFonts w:ascii="Times New Roman" w:eastAsia="Times New Roman" w:hAnsi="Times New Roman" w:cs="Times New Roman"/>
          <w:color w:val="222222"/>
          <w:sz w:val="24"/>
          <w:szCs w:val="24"/>
          <w:lang w:val="en-US"/>
        </w:rPr>
        <w:t xml:space="preserve"> of probability was 0.213 and a standard deviation was 0.277. The minimum value for liquidity was 1.010, recorded by PT. Gas Negara Persero Tbk in 2013, whilst the maximum value was 4.510, documented by Kalbe Farma Tbk in 2017. The average value of liquidi</w:t>
      </w:r>
      <w:r w:rsidRPr="00CB216A">
        <w:rPr>
          <w:rFonts w:ascii="Times New Roman" w:eastAsia="Times New Roman" w:hAnsi="Times New Roman" w:cs="Times New Roman"/>
          <w:color w:val="222222"/>
          <w:sz w:val="24"/>
          <w:szCs w:val="24"/>
          <w:lang w:val="en-US"/>
        </w:rPr>
        <w:t xml:space="preserve">ty was 1.930 and its standard deviation was 0.676. </w:t>
      </w:r>
    </w:p>
    <w:p w:rsidR="00D054A7" w:rsidRPr="00CB216A" w:rsidRDefault="0046403F" w:rsidP="002513C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cs="Times New Roman"/>
          <w:color w:val="222222"/>
          <w:sz w:val="24"/>
          <w:szCs w:val="24"/>
          <w:lang w:val="en-US"/>
        </w:rPr>
      </w:pPr>
      <w:r w:rsidRPr="00CB216A">
        <w:rPr>
          <w:rFonts w:ascii="Times New Roman" w:eastAsia="Times New Roman" w:hAnsi="Times New Roman" w:cs="Times New Roman"/>
          <w:color w:val="222222"/>
          <w:sz w:val="24"/>
          <w:szCs w:val="24"/>
          <w:lang w:val="en-US"/>
        </w:rPr>
        <w:t xml:space="preserve">With regards to the </w:t>
      </w:r>
      <w:r w:rsidR="009C4504" w:rsidRPr="00CB216A">
        <w:rPr>
          <w:rFonts w:ascii="Times New Roman" w:eastAsia="Times New Roman" w:hAnsi="Times New Roman" w:cs="Times New Roman"/>
          <w:color w:val="222222"/>
          <w:sz w:val="24"/>
          <w:szCs w:val="24"/>
          <w:lang w:val="en-US"/>
        </w:rPr>
        <w:t>solvency</w:t>
      </w:r>
      <w:r w:rsidRPr="00CB216A">
        <w:rPr>
          <w:rFonts w:ascii="Times New Roman" w:eastAsia="Times New Roman" w:hAnsi="Times New Roman" w:cs="Times New Roman"/>
          <w:color w:val="222222"/>
          <w:sz w:val="24"/>
          <w:szCs w:val="24"/>
          <w:lang w:val="en-US"/>
        </w:rPr>
        <w:t>, the minimum value was 0.002, which is recorded by Kalbe Farma Tbk in 2017, while the maximum value was 0.096, documented by AKR Corporindo Tbk in 2016. The average value of t</w:t>
      </w:r>
      <w:r w:rsidRPr="00CB216A">
        <w:rPr>
          <w:rFonts w:ascii="Times New Roman" w:eastAsia="Times New Roman" w:hAnsi="Times New Roman" w:cs="Times New Roman"/>
          <w:color w:val="222222"/>
          <w:sz w:val="24"/>
          <w:szCs w:val="24"/>
          <w:lang w:val="en-US"/>
        </w:rPr>
        <w:t>his variable was 0.010 and its standard deviation was 0.011. Finally, the minimum value for a company size was 15.891, recorded by PT. PP London Sumatra Indonesia Tbk in 2013, whilst the maximum value was 19.504, documented by PT. Astra International Tbk i</w:t>
      </w:r>
      <w:r w:rsidRPr="00CB216A">
        <w:rPr>
          <w:rFonts w:ascii="Times New Roman" w:eastAsia="Times New Roman" w:hAnsi="Times New Roman" w:cs="Times New Roman"/>
          <w:color w:val="222222"/>
          <w:sz w:val="24"/>
          <w:szCs w:val="24"/>
          <w:lang w:val="en-US"/>
        </w:rPr>
        <w:t>n 2017. The average value of firm size was 17.585 and its standard deviation was 0.905.</w:t>
      </w:r>
    </w:p>
    <w:p w:rsidR="002513C1" w:rsidRPr="00CB216A" w:rsidRDefault="0046403F" w:rsidP="002513C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cs="Times New Roman"/>
          <w:b/>
          <w:color w:val="222222"/>
          <w:sz w:val="24"/>
          <w:szCs w:val="24"/>
          <w:lang w:val="en-US"/>
        </w:rPr>
      </w:pPr>
      <w:r w:rsidRPr="00CB216A">
        <w:rPr>
          <w:rFonts w:ascii="Times New Roman" w:eastAsia="Times New Roman" w:hAnsi="Times New Roman" w:cs="Times New Roman"/>
          <w:b/>
          <w:color w:val="222222"/>
          <w:sz w:val="24"/>
          <w:szCs w:val="24"/>
          <w:lang w:val="en-US"/>
        </w:rPr>
        <w:lastRenderedPageBreak/>
        <w:t xml:space="preserve">Effects </w:t>
      </w:r>
      <w:r w:rsidR="00CB32E3" w:rsidRPr="00CB216A">
        <w:rPr>
          <w:rFonts w:ascii="Times New Roman" w:eastAsia="Times New Roman" w:hAnsi="Times New Roman" w:cs="Times New Roman"/>
          <w:b/>
          <w:color w:val="222222"/>
          <w:sz w:val="24"/>
          <w:szCs w:val="24"/>
          <w:lang w:val="en-US"/>
        </w:rPr>
        <w:t xml:space="preserve">of </w:t>
      </w:r>
      <w:r w:rsidRPr="00CB216A">
        <w:rPr>
          <w:rFonts w:ascii="Times New Roman" w:eastAsia="Times New Roman" w:hAnsi="Times New Roman" w:cs="Times New Roman"/>
          <w:b/>
          <w:color w:val="222222"/>
          <w:sz w:val="24"/>
          <w:szCs w:val="24"/>
          <w:lang w:val="en-US"/>
        </w:rPr>
        <w:t>Profitability, Liquidity, Solvency, and Firm Size of the Islamic Stock Returns in Indonesia</w:t>
      </w:r>
    </w:p>
    <w:p w:rsidR="00D054A7" w:rsidRPr="00CB216A" w:rsidRDefault="0046403F" w:rsidP="002513C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cs="Times New Roman"/>
          <w:b/>
          <w:color w:val="222222"/>
          <w:sz w:val="24"/>
          <w:szCs w:val="24"/>
          <w:lang w:val="en-US"/>
        </w:rPr>
      </w:pPr>
      <w:r w:rsidRPr="00CB216A">
        <w:rPr>
          <w:rFonts w:ascii="Times New Roman" w:eastAsia="Times New Roman" w:hAnsi="Times New Roman" w:cs="Times New Roman"/>
          <w:color w:val="222222"/>
          <w:sz w:val="24"/>
          <w:szCs w:val="24"/>
          <w:lang w:val="en-US"/>
        </w:rPr>
        <w:t>Based on the Hausman test</w:t>
      </w:r>
      <w:r w:rsidR="002513C1" w:rsidRPr="00CB216A">
        <w:rPr>
          <w:rFonts w:ascii="Times New Roman" w:eastAsia="Times New Roman" w:hAnsi="Times New Roman" w:cs="Times New Roman"/>
          <w:color w:val="222222"/>
          <w:sz w:val="24"/>
          <w:szCs w:val="24"/>
          <w:lang w:val="en-US"/>
        </w:rPr>
        <w:t xml:space="preserve">, the study found </w:t>
      </w:r>
      <w:r w:rsidRPr="00CB216A">
        <w:rPr>
          <w:rFonts w:ascii="Times New Roman" w:eastAsia="Times New Roman" w:hAnsi="Times New Roman" w:cs="Times New Roman"/>
          <w:color w:val="222222"/>
          <w:sz w:val="24"/>
          <w:szCs w:val="24"/>
          <w:lang w:val="en-US"/>
        </w:rPr>
        <w:t xml:space="preserve">that the fixed effect </w:t>
      </w:r>
      <w:r w:rsidRPr="00CB216A">
        <w:rPr>
          <w:rFonts w:ascii="Times New Roman" w:eastAsia="Times New Roman" w:hAnsi="Times New Roman" w:cs="Times New Roman"/>
          <w:color w:val="222222"/>
          <w:sz w:val="24"/>
          <w:szCs w:val="24"/>
          <w:lang w:val="en-US"/>
        </w:rPr>
        <w:t>model</w:t>
      </w:r>
      <w:r w:rsidR="002513C1" w:rsidRPr="00CB216A">
        <w:rPr>
          <w:rFonts w:ascii="Times New Roman" w:eastAsia="Times New Roman" w:hAnsi="Times New Roman" w:cs="Times New Roman"/>
          <w:color w:val="222222"/>
          <w:sz w:val="24"/>
          <w:szCs w:val="24"/>
          <w:lang w:val="en-US"/>
        </w:rPr>
        <w:t xml:space="preserve"> was the most appropriate model of Generalized Least Squa</w:t>
      </w:r>
      <w:r w:rsidR="00766B52" w:rsidRPr="00CB216A">
        <w:rPr>
          <w:rFonts w:ascii="Times New Roman" w:eastAsia="Times New Roman" w:hAnsi="Times New Roman" w:cs="Times New Roman"/>
          <w:color w:val="222222"/>
          <w:sz w:val="24"/>
          <w:szCs w:val="24"/>
          <w:lang w:val="en-US"/>
        </w:rPr>
        <w:t>r</w:t>
      </w:r>
      <w:r w:rsidR="002513C1" w:rsidRPr="00CB216A">
        <w:rPr>
          <w:rFonts w:ascii="Times New Roman" w:eastAsia="Times New Roman" w:hAnsi="Times New Roman" w:cs="Times New Roman"/>
          <w:color w:val="222222"/>
          <w:sz w:val="24"/>
          <w:szCs w:val="24"/>
          <w:lang w:val="en-US"/>
        </w:rPr>
        <w:t xml:space="preserve">e </w:t>
      </w:r>
      <w:r w:rsidR="00766B52" w:rsidRPr="00CB216A">
        <w:rPr>
          <w:rFonts w:ascii="Times New Roman" w:eastAsia="Times New Roman" w:hAnsi="Times New Roman" w:cs="Times New Roman"/>
          <w:color w:val="222222"/>
          <w:sz w:val="24"/>
          <w:szCs w:val="24"/>
          <w:lang w:val="en-US"/>
        </w:rPr>
        <w:t xml:space="preserve">as compared to the random effect model </w:t>
      </w:r>
      <w:r w:rsidR="002513C1" w:rsidRPr="00CB216A">
        <w:rPr>
          <w:rFonts w:ascii="Times New Roman" w:eastAsia="Times New Roman" w:hAnsi="Times New Roman" w:cs="Times New Roman"/>
          <w:color w:val="222222"/>
          <w:sz w:val="24"/>
          <w:szCs w:val="24"/>
          <w:lang w:val="en-US"/>
        </w:rPr>
        <w:t xml:space="preserve">to estimate the effects of profitability, liquidity, </w:t>
      </w:r>
      <w:r w:rsidR="009C4504" w:rsidRPr="00CB216A">
        <w:rPr>
          <w:rFonts w:ascii="Times New Roman" w:eastAsia="Times New Roman" w:hAnsi="Times New Roman" w:cs="Times New Roman"/>
          <w:color w:val="222222"/>
          <w:sz w:val="24"/>
          <w:szCs w:val="24"/>
          <w:lang w:val="en-US"/>
        </w:rPr>
        <w:t>solvency</w:t>
      </w:r>
      <w:r w:rsidR="002513C1" w:rsidRPr="00CB216A">
        <w:rPr>
          <w:rFonts w:ascii="Times New Roman" w:eastAsia="Times New Roman" w:hAnsi="Times New Roman" w:cs="Times New Roman"/>
          <w:color w:val="222222"/>
          <w:sz w:val="24"/>
          <w:szCs w:val="24"/>
          <w:lang w:val="en-US"/>
        </w:rPr>
        <w:t xml:space="preserve">, and firm size on the Islamic stock returns in Indonesia during the 2013-2017 period. </w:t>
      </w:r>
      <w:r w:rsidRPr="00CB216A">
        <w:rPr>
          <w:rFonts w:ascii="Times New Roman" w:eastAsia="Times New Roman" w:hAnsi="Times New Roman" w:cs="Times New Roman"/>
          <w:color w:val="222222"/>
          <w:sz w:val="24"/>
          <w:szCs w:val="24"/>
          <w:lang w:val="en-US"/>
        </w:rPr>
        <w:t>This</w:t>
      </w:r>
      <w:r w:rsidRPr="00CB216A">
        <w:rPr>
          <w:rFonts w:ascii="Times New Roman" w:eastAsia="Times New Roman" w:hAnsi="Times New Roman" w:cs="Times New Roman"/>
          <w:color w:val="222222"/>
          <w:sz w:val="24"/>
          <w:szCs w:val="24"/>
          <w:lang w:val="en-US"/>
        </w:rPr>
        <w:t xml:space="preserve"> is </w:t>
      </w:r>
      <w:r w:rsidR="00766B52" w:rsidRPr="00CB216A">
        <w:rPr>
          <w:rFonts w:ascii="Times New Roman" w:eastAsia="Times New Roman" w:hAnsi="Times New Roman" w:cs="Times New Roman"/>
          <w:color w:val="222222"/>
          <w:sz w:val="24"/>
          <w:szCs w:val="24"/>
          <w:lang w:val="en-US"/>
        </w:rPr>
        <w:t>illu</w:t>
      </w:r>
      <w:r w:rsidR="000E6797" w:rsidRPr="00CB216A">
        <w:rPr>
          <w:rFonts w:ascii="Times New Roman" w:eastAsia="Times New Roman" w:hAnsi="Times New Roman" w:cs="Times New Roman"/>
          <w:color w:val="222222"/>
          <w:sz w:val="24"/>
          <w:szCs w:val="24"/>
          <w:lang w:val="en-US"/>
        </w:rPr>
        <w:t>s</w:t>
      </w:r>
      <w:r w:rsidR="00766B52" w:rsidRPr="00CB216A">
        <w:rPr>
          <w:rFonts w:ascii="Times New Roman" w:eastAsia="Times New Roman" w:hAnsi="Times New Roman" w:cs="Times New Roman"/>
          <w:color w:val="222222"/>
          <w:sz w:val="24"/>
          <w:szCs w:val="24"/>
          <w:lang w:val="en-US"/>
        </w:rPr>
        <w:t xml:space="preserve">trated in Table 4, where the </w:t>
      </w:r>
      <w:r w:rsidRPr="00CB216A">
        <w:rPr>
          <w:rFonts w:ascii="Times New Roman" w:eastAsia="Times New Roman" w:hAnsi="Times New Roman" w:cs="Times New Roman"/>
          <w:color w:val="222222"/>
          <w:sz w:val="24"/>
          <w:szCs w:val="24"/>
          <w:lang w:val="en-US"/>
        </w:rPr>
        <w:t xml:space="preserve">p-value of the </w:t>
      </w:r>
      <w:r w:rsidR="00766B52" w:rsidRPr="00CB216A">
        <w:rPr>
          <w:rFonts w:ascii="Times New Roman" w:eastAsia="Times New Roman" w:hAnsi="Times New Roman" w:cs="Times New Roman"/>
          <w:color w:val="222222"/>
          <w:sz w:val="24"/>
          <w:szCs w:val="24"/>
          <w:lang w:val="en-US"/>
        </w:rPr>
        <w:t xml:space="preserve">Hausman test was below the probability value of 0.05. </w:t>
      </w:r>
      <w:r w:rsidRPr="00CB216A">
        <w:rPr>
          <w:rFonts w:ascii="Times New Roman" w:eastAsia="Times New Roman" w:hAnsi="Times New Roman" w:cs="Times New Roman"/>
          <w:color w:val="222222"/>
          <w:sz w:val="24"/>
          <w:szCs w:val="24"/>
          <w:lang w:val="en-US"/>
        </w:rPr>
        <w:t xml:space="preserve"> </w:t>
      </w:r>
      <w:r w:rsidR="00766B52" w:rsidRPr="00CB216A">
        <w:rPr>
          <w:rFonts w:ascii="Times New Roman" w:eastAsia="Times New Roman" w:hAnsi="Times New Roman" w:cs="Times New Roman"/>
          <w:color w:val="222222"/>
          <w:sz w:val="24"/>
          <w:szCs w:val="24"/>
          <w:lang w:val="en-US"/>
        </w:rPr>
        <w:t xml:space="preserve">Table 4 also provides the estimated </w:t>
      </w:r>
      <w:r w:rsidR="00CB216A" w:rsidRPr="00CB216A">
        <w:rPr>
          <w:rFonts w:ascii="Times New Roman" w:eastAsia="Times New Roman" w:hAnsi="Times New Roman" w:cs="Times New Roman"/>
          <w:color w:val="222222"/>
          <w:sz w:val="24"/>
          <w:szCs w:val="24"/>
          <w:lang w:val="en-US"/>
        </w:rPr>
        <w:t>coefficients</w:t>
      </w:r>
      <w:r w:rsidR="00766B52" w:rsidRPr="00CB216A">
        <w:rPr>
          <w:rFonts w:ascii="Times New Roman" w:eastAsia="Times New Roman" w:hAnsi="Times New Roman" w:cs="Times New Roman"/>
          <w:color w:val="222222"/>
          <w:sz w:val="24"/>
          <w:szCs w:val="24"/>
          <w:lang w:val="en-US"/>
        </w:rPr>
        <w:t xml:space="preserve"> of regression based on the panel Generalized Least analysis. It also reports the findings of classical assumption tests.</w:t>
      </w:r>
    </w:p>
    <w:p w:rsidR="00961C98" w:rsidRPr="00CB216A" w:rsidRDefault="0046403F" w:rsidP="002513C1">
      <w:pPr>
        <w:shd w:val="clear" w:color="auto" w:fill="FFFFFF" w:themeFill="background1"/>
        <w:spacing w:after="0" w:line="240" w:lineRule="auto"/>
        <w:jc w:val="center"/>
        <w:rPr>
          <w:rFonts w:ascii="Times New Roman" w:hAnsi="Times New Roman"/>
          <w:sz w:val="24"/>
          <w:szCs w:val="24"/>
          <w:lang w:val="en-US"/>
        </w:rPr>
      </w:pPr>
      <w:r w:rsidRPr="00CB216A">
        <w:rPr>
          <w:rFonts w:ascii="Times New Roman" w:hAnsi="Times New Roman"/>
          <w:sz w:val="24"/>
          <w:szCs w:val="24"/>
          <w:lang w:val="en-US"/>
        </w:rPr>
        <w:t xml:space="preserve">Table 4. </w:t>
      </w:r>
      <w:r w:rsidRPr="00CB216A">
        <w:rPr>
          <w:rFonts w:ascii="Times New Roman" w:eastAsia="Times New Roman" w:hAnsi="Times New Roman" w:cs="Times New Roman"/>
          <w:color w:val="222222"/>
          <w:sz w:val="24"/>
          <w:szCs w:val="24"/>
          <w:lang w:val="en-US"/>
        </w:rPr>
        <w:t xml:space="preserve">Effects of Profitability, Liquidity, </w:t>
      </w:r>
      <w:r w:rsidR="009C4504" w:rsidRPr="00CB216A">
        <w:rPr>
          <w:rFonts w:ascii="Times New Roman" w:eastAsia="Times New Roman" w:hAnsi="Times New Roman" w:cs="Times New Roman"/>
          <w:color w:val="222222"/>
          <w:sz w:val="24"/>
          <w:szCs w:val="24"/>
          <w:lang w:val="en-US"/>
        </w:rPr>
        <w:t>Solvency</w:t>
      </w:r>
      <w:r w:rsidRPr="00CB216A">
        <w:rPr>
          <w:rFonts w:ascii="Times New Roman" w:eastAsia="Times New Roman" w:hAnsi="Times New Roman" w:cs="Times New Roman"/>
          <w:color w:val="222222"/>
          <w:sz w:val="24"/>
          <w:szCs w:val="24"/>
          <w:lang w:val="en-US"/>
        </w:rPr>
        <w:t xml:space="preserve">, and Firm Size on Islamic Stock Returns Based on the </w:t>
      </w:r>
      <w:r w:rsidRPr="00CB216A">
        <w:rPr>
          <w:rFonts w:ascii="Times New Roman" w:hAnsi="Times New Roman"/>
          <w:sz w:val="24"/>
          <w:szCs w:val="24"/>
          <w:lang w:val="en-US"/>
        </w:rPr>
        <w:t>Fixed Effect Model</w:t>
      </w:r>
    </w:p>
    <w:tbl>
      <w:tblPr>
        <w:tblStyle w:val="TableGrid"/>
        <w:tblW w:w="0" w:type="auto"/>
        <w:jc w:val="center"/>
        <w:tblInd w:w="557" w:type="dxa"/>
        <w:tblBorders>
          <w:left w:val="none" w:sz="0" w:space="0" w:color="auto"/>
          <w:right w:val="none" w:sz="0" w:space="0" w:color="auto"/>
          <w:insideH w:val="none" w:sz="0" w:space="0" w:color="auto"/>
          <w:insideV w:val="none" w:sz="0" w:space="0" w:color="auto"/>
        </w:tblBorders>
        <w:tblLook w:val="04A0"/>
      </w:tblPr>
      <w:tblGrid>
        <w:gridCol w:w="2576"/>
        <w:gridCol w:w="1959"/>
        <w:gridCol w:w="2462"/>
      </w:tblGrid>
      <w:tr w:rsidR="00A91EE8" w:rsidTr="001B047D">
        <w:trPr>
          <w:jc w:val="center"/>
        </w:trPr>
        <w:tc>
          <w:tcPr>
            <w:tcW w:w="2576" w:type="dxa"/>
            <w:tcBorders>
              <w:bottom w:val="single" w:sz="4" w:space="0" w:color="auto"/>
            </w:tcBorders>
          </w:tcPr>
          <w:p w:rsidR="001B047D" w:rsidRPr="00CB216A" w:rsidRDefault="0046403F" w:rsidP="002513C1">
            <w:pPr>
              <w:shd w:val="clear" w:color="auto" w:fill="FFFFFF" w:themeFill="background1"/>
              <w:jc w:val="center"/>
              <w:rPr>
                <w:rFonts w:ascii="Times New Roman" w:hAnsi="Times New Roman" w:cs="Times New Roman"/>
                <w:b/>
                <w:sz w:val="20"/>
                <w:szCs w:val="20"/>
                <w:lang w:val="en-US"/>
              </w:rPr>
            </w:pPr>
            <w:r w:rsidRPr="00CB216A">
              <w:rPr>
                <w:rFonts w:ascii="Times New Roman" w:hAnsi="Times New Roman" w:cs="Times New Roman"/>
                <w:b/>
                <w:sz w:val="20"/>
                <w:szCs w:val="20"/>
                <w:lang w:val="en-US"/>
              </w:rPr>
              <w:t>Variable</w:t>
            </w:r>
          </w:p>
        </w:tc>
        <w:tc>
          <w:tcPr>
            <w:tcW w:w="1959" w:type="dxa"/>
            <w:tcBorders>
              <w:bottom w:val="single" w:sz="4" w:space="0" w:color="auto"/>
            </w:tcBorders>
          </w:tcPr>
          <w:p w:rsidR="001B047D" w:rsidRPr="00CB216A" w:rsidRDefault="0046403F" w:rsidP="002513C1">
            <w:pPr>
              <w:shd w:val="clear" w:color="auto" w:fill="FFFFFF" w:themeFill="background1"/>
              <w:jc w:val="center"/>
              <w:rPr>
                <w:rFonts w:ascii="Times New Roman" w:hAnsi="Times New Roman" w:cs="Times New Roman"/>
                <w:b/>
                <w:sz w:val="20"/>
                <w:szCs w:val="20"/>
                <w:lang w:val="en-US"/>
              </w:rPr>
            </w:pPr>
            <w:r w:rsidRPr="00CB216A">
              <w:rPr>
                <w:rFonts w:ascii="Times New Roman" w:hAnsi="Times New Roman" w:cs="Times New Roman"/>
                <w:b/>
                <w:sz w:val="20"/>
                <w:szCs w:val="20"/>
                <w:lang w:val="en-US"/>
              </w:rPr>
              <w:t>Coefficient</w:t>
            </w:r>
          </w:p>
        </w:tc>
        <w:tc>
          <w:tcPr>
            <w:tcW w:w="2462" w:type="dxa"/>
            <w:tcBorders>
              <w:bottom w:val="single" w:sz="4" w:space="0" w:color="auto"/>
            </w:tcBorders>
          </w:tcPr>
          <w:p w:rsidR="001B047D" w:rsidRPr="00CB216A" w:rsidRDefault="0046403F" w:rsidP="002513C1">
            <w:pPr>
              <w:shd w:val="clear" w:color="auto" w:fill="FFFFFF" w:themeFill="background1"/>
              <w:jc w:val="center"/>
              <w:rPr>
                <w:rFonts w:ascii="Times New Roman" w:hAnsi="Times New Roman" w:cs="Times New Roman"/>
                <w:b/>
                <w:sz w:val="20"/>
                <w:szCs w:val="20"/>
                <w:lang w:val="en-US"/>
              </w:rPr>
            </w:pPr>
            <w:r w:rsidRPr="00CB216A">
              <w:rPr>
                <w:rFonts w:ascii="Times New Roman" w:hAnsi="Times New Roman" w:cs="Times New Roman"/>
                <w:b/>
                <w:sz w:val="20"/>
                <w:szCs w:val="20"/>
                <w:lang w:val="en-US"/>
              </w:rPr>
              <w:t>t-Statistics</w:t>
            </w:r>
          </w:p>
        </w:tc>
      </w:tr>
      <w:tr w:rsidR="00A91EE8" w:rsidTr="001B047D">
        <w:trPr>
          <w:jc w:val="center"/>
        </w:trPr>
        <w:tc>
          <w:tcPr>
            <w:tcW w:w="2576" w:type="dxa"/>
            <w:tcBorders>
              <w:top w:val="single" w:sz="4" w:space="0" w:color="auto"/>
              <w:bottom w:val="single" w:sz="4" w:space="0" w:color="auto"/>
            </w:tcBorders>
          </w:tcPr>
          <w:p w:rsidR="001B047D" w:rsidRPr="00CB216A" w:rsidRDefault="0046403F" w:rsidP="001B047D">
            <w:pPr>
              <w:shd w:val="clear" w:color="auto" w:fill="FFFFFF" w:themeFill="background1"/>
              <w:rPr>
                <w:rFonts w:ascii="Times New Roman" w:hAnsi="Times New Roman" w:cs="Times New Roman"/>
                <w:sz w:val="20"/>
                <w:szCs w:val="20"/>
                <w:lang w:val="en-US"/>
              </w:rPr>
            </w:pPr>
            <w:r w:rsidRPr="00CB216A">
              <w:rPr>
                <w:rFonts w:ascii="Times New Roman" w:hAnsi="Times New Roman" w:cs="Times New Roman"/>
                <w:sz w:val="20"/>
                <w:szCs w:val="20"/>
                <w:lang w:val="en-US"/>
              </w:rPr>
              <w:t>Constant</w:t>
            </w:r>
          </w:p>
        </w:tc>
        <w:tc>
          <w:tcPr>
            <w:tcW w:w="1959" w:type="dxa"/>
            <w:tcBorders>
              <w:top w:val="single" w:sz="4" w:space="0" w:color="auto"/>
              <w:bottom w:val="single" w:sz="4" w:space="0" w:color="auto"/>
            </w:tcBorders>
          </w:tcPr>
          <w:p w:rsidR="001B047D" w:rsidRPr="00CB216A" w:rsidRDefault="0046403F" w:rsidP="002513C1">
            <w:pPr>
              <w:shd w:val="clear" w:color="auto" w:fill="FFFFFF" w:themeFill="background1"/>
              <w:jc w:val="center"/>
              <w:rPr>
                <w:rFonts w:ascii="Times New Roman" w:hAnsi="Times New Roman" w:cs="Times New Roman"/>
                <w:sz w:val="20"/>
                <w:szCs w:val="20"/>
                <w:lang w:val="en-US"/>
              </w:rPr>
            </w:pPr>
            <w:r w:rsidRPr="00CB216A">
              <w:rPr>
                <w:rFonts w:ascii="Times New Roman" w:hAnsi="Times New Roman" w:cs="Times New Roman"/>
                <w:sz w:val="20"/>
                <w:szCs w:val="20"/>
                <w:lang w:val="en-US"/>
              </w:rPr>
              <w:t>0.550</w:t>
            </w:r>
          </w:p>
        </w:tc>
        <w:tc>
          <w:tcPr>
            <w:tcW w:w="2462" w:type="dxa"/>
            <w:tcBorders>
              <w:top w:val="single" w:sz="4" w:space="0" w:color="auto"/>
              <w:bottom w:val="single" w:sz="4" w:space="0" w:color="auto"/>
            </w:tcBorders>
          </w:tcPr>
          <w:p w:rsidR="001B047D" w:rsidRPr="00CB216A" w:rsidRDefault="0046403F" w:rsidP="002513C1">
            <w:pPr>
              <w:shd w:val="clear" w:color="auto" w:fill="FFFFFF" w:themeFill="background1"/>
              <w:jc w:val="center"/>
              <w:rPr>
                <w:rFonts w:ascii="Times New Roman" w:hAnsi="Times New Roman" w:cs="Times New Roman"/>
                <w:sz w:val="20"/>
                <w:szCs w:val="20"/>
                <w:lang w:val="en-US"/>
              </w:rPr>
            </w:pPr>
            <w:r w:rsidRPr="00CB216A">
              <w:rPr>
                <w:rFonts w:ascii="Times New Roman" w:hAnsi="Times New Roman" w:cs="Times New Roman"/>
                <w:sz w:val="20"/>
                <w:szCs w:val="20"/>
                <w:lang w:val="en-US"/>
              </w:rPr>
              <w:t>0.273</w:t>
            </w:r>
          </w:p>
        </w:tc>
      </w:tr>
      <w:tr w:rsidR="00A91EE8" w:rsidTr="001B047D">
        <w:trPr>
          <w:trHeight w:val="281"/>
          <w:jc w:val="center"/>
        </w:trPr>
        <w:tc>
          <w:tcPr>
            <w:tcW w:w="2576"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rPr>
                <w:rFonts w:ascii="Times New Roman" w:hAnsi="Times New Roman" w:cs="Times New Roman"/>
                <w:sz w:val="20"/>
                <w:szCs w:val="20"/>
                <w:lang w:val="en-US"/>
              </w:rPr>
            </w:pPr>
            <w:r w:rsidRPr="00CB216A">
              <w:rPr>
                <w:rFonts w:ascii="Times New Roman" w:hAnsi="Times New Roman" w:cs="Times New Roman"/>
                <w:color w:val="000000"/>
                <w:sz w:val="20"/>
                <w:szCs w:val="20"/>
                <w:lang w:val="en-US"/>
              </w:rPr>
              <w:t>Profitability</w:t>
            </w:r>
          </w:p>
        </w:tc>
        <w:tc>
          <w:tcPr>
            <w:tcW w:w="1959" w:type="dxa"/>
            <w:tcBorders>
              <w:top w:val="single" w:sz="4" w:space="0" w:color="auto"/>
              <w:bottom w:val="single" w:sz="4" w:space="0" w:color="auto"/>
            </w:tcBorders>
          </w:tcPr>
          <w:p w:rsidR="001B047D" w:rsidRPr="00CB216A" w:rsidRDefault="0046403F" w:rsidP="000E6797">
            <w:pPr>
              <w:shd w:val="clear" w:color="auto" w:fill="FFFFFF" w:themeFill="background1"/>
              <w:autoSpaceDE w:val="0"/>
              <w:autoSpaceDN w:val="0"/>
              <w:adjustRightInd w:val="0"/>
              <w:ind w:right="10"/>
              <w:jc w:val="center"/>
              <w:rPr>
                <w:rFonts w:ascii="Times New Roman" w:hAnsi="Times New Roman" w:cs="Times New Roman"/>
                <w:sz w:val="20"/>
                <w:szCs w:val="20"/>
                <w:lang w:val="en-US"/>
              </w:rPr>
            </w:pPr>
            <w:r w:rsidRPr="00CB216A">
              <w:rPr>
                <w:rFonts w:ascii="Times New Roman" w:hAnsi="Times New Roman" w:cs="Times New Roman"/>
                <w:color w:val="000000"/>
                <w:sz w:val="20"/>
                <w:szCs w:val="20"/>
                <w:lang w:val="en-US"/>
              </w:rPr>
              <w:t xml:space="preserve"> </w:t>
            </w:r>
            <w:r w:rsidR="000E6797" w:rsidRPr="00CB216A">
              <w:rPr>
                <w:rFonts w:ascii="Times New Roman" w:hAnsi="Times New Roman" w:cs="Times New Roman"/>
                <w:color w:val="000000"/>
                <w:sz w:val="20"/>
                <w:szCs w:val="20"/>
                <w:lang w:val="en-US"/>
              </w:rPr>
              <w:t>0</w:t>
            </w:r>
            <w:r w:rsidRPr="00CB216A">
              <w:rPr>
                <w:rFonts w:ascii="Times New Roman" w:hAnsi="Times New Roman" w:cs="Times New Roman"/>
                <w:color w:val="000000"/>
                <w:sz w:val="20"/>
                <w:szCs w:val="20"/>
                <w:lang w:val="en-US"/>
              </w:rPr>
              <w:t>.634</w:t>
            </w:r>
            <w:r w:rsidRPr="00CB216A">
              <w:rPr>
                <w:rFonts w:ascii="Times New Roman" w:hAnsi="Times New Roman" w:cs="Times New Roman"/>
                <w:color w:val="000000"/>
                <w:sz w:val="20"/>
                <w:szCs w:val="20"/>
                <w:vertAlign w:val="superscript"/>
                <w:lang w:val="en-US"/>
              </w:rPr>
              <w:t>*</w:t>
            </w:r>
          </w:p>
        </w:tc>
        <w:tc>
          <w:tcPr>
            <w:tcW w:w="2462"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ind w:right="10"/>
              <w:jc w:val="center"/>
              <w:rPr>
                <w:rFonts w:ascii="Times New Roman" w:hAnsi="Times New Roman" w:cs="Times New Roman"/>
                <w:sz w:val="20"/>
                <w:szCs w:val="20"/>
                <w:lang w:val="en-US"/>
              </w:rPr>
            </w:pPr>
            <w:r w:rsidRPr="00CB216A">
              <w:rPr>
                <w:rFonts w:ascii="Times New Roman" w:hAnsi="Times New Roman" w:cs="Times New Roman"/>
                <w:color w:val="000000"/>
                <w:sz w:val="20"/>
                <w:szCs w:val="20"/>
                <w:lang w:val="en-US"/>
              </w:rPr>
              <w:t>3,615</w:t>
            </w:r>
          </w:p>
        </w:tc>
      </w:tr>
      <w:tr w:rsidR="00A91EE8" w:rsidTr="001B047D">
        <w:trPr>
          <w:trHeight w:val="281"/>
          <w:jc w:val="center"/>
        </w:trPr>
        <w:tc>
          <w:tcPr>
            <w:tcW w:w="2576"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Liquidity</w:t>
            </w:r>
          </w:p>
        </w:tc>
        <w:tc>
          <w:tcPr>
            <w:tcW w:w="1959"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ind w:right="1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0.106</w:t>
            </w:r>
          </w:p>
        </w:tc>
        <w:tc>
          <w:tcPr>
            <w:tcW w:w="2462"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ind w:right="1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1.517</w:t>
            </w:r>
          </w:p>
        </w:tc>
      </w:tr>
      <w:tr w:rsidR="00A91EE8" w:rsidTr="001B047D">
        <w:trPr>
          <w:trHeight w:val="281"/>
          <w:jc w:val="center"/>
        </w:trPr>
        <w:tc>
          <w:tcPr>
            <w:tcW w:w="2576"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Solvency</w:t>
            </w:r>
          </w:p>
        </w:tc>
        <w:tc>
          <w:tcPr>
            <w:tcW w:w="1959"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ind w:right="1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-1.986</w:t>
            </w:r>
          </w:p>
        </w:tc>
        <w:tc>
          <w:tcPr>
            <w:tcW w:w="2462"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ind w:right="1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-0.876</w:t>
            </w:r>
          </w:p>
        </w:tc>
      </w:tr>
      <w:tr w:rsidR="00A91EE8" w:rsidTr="001B047D">
        <w:trPr>
          <w:trHeight w:val="281"/>
          <w:jc w:val="center"/>
        </w:trPr>
        <w:tc>
          <w:tcPr>
            <w:tcW w:w="2576"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Firm Size</w:t>
            </w:r>
          </w:p>
        </w:tc>
        <w:tc>
          <w:tcPr>
            <w:tcW w:w="1959"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ind w:right="1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-0.058</w:t>
            </w:r>
          </w:p>
        </w:tc>
        <w:tc>
          <w:tcPr>
            <w:tcW w:w="2462" w:type="dxa"/>
            <w:tcBorders>
              <w:top w:val="single" w:sz="4" w:space="0" w:color="auto"/>
              <w:bottom w:val="single" w:sz="4" w:space="0" w:color="auto"/>
            </w:tcBorders>
          </w:tcPr>
          <w:p w:rsidR="001B047D" w:rsidRPr="00CB216A" w:rsidRDefault="0046403F" w:rsidP="00766B52">
            <w:pPr>
              <w:shd w:val="clear" w:color="auto" w:fill="FFFFFF" w:themeFill="background1"/>
              <w:autoSpaceDE w:val="0"/>
              <w:autoSpaceDN w:val="0"/>
              <w:adjustRightInd w:val="0"/>
              <w:ind w:right="10"/>
              <w:jc w:val="center"/>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-0.523</w:t>
            </w:r>
          </w:p>
        </w:tc>
      </w:tr>
      <w:tr w:rsidR="00A91EE8" w:rsidTr="001B047D">
        <w:trPr>
          <w:jc w:val="center"/>
        </w:trPr>
        <w:tc>
          <w:tcPr>
            <w:tcW w:w="6997" w:type="dxa"/>
            <w:gridSpan w:val="3"/>
            <w:tcBorders>
              <w:top w:val="single" w:sz="4" w:space="0" w:color="auto"/>
            </w:tcBorders>
          </w:tcPr>
          <w:p w:rsidR="001B047D" w:rsidRPr="00CB216A" w:rsidRDefault="0046403F" w:rsidP="001B047D">
            <w:pPr>
              <w:shd w:val="clear" w:color="auto" w:fill="FFFFFF" w:themeFill="background1"/>
              <w:autoSpaceDE w:val="0"/>
              <w:autoSpaceDN w:val="0"/>
              <w:adjustRightInd w:val="0"/>
              <w:ind w:right="10"/>
              <w:jc w:val="both"/>
              <w:rPr>
                <w:rFonts w:ascii="Times New Roman" w:hAnsi="Times New Roman" w:cs="Times New Roman"/>
                <w:color w:val="000000"/>
                <w:sz w:val="20"/>
                <w:szCs w:val="20"/>
                <w:lang w:val="en-US"/>
              </w:rPr>
            </w:pPr>
            <w:r w:rsidRPr="00CB216A">
              <w:rPr>
                <w:rFonts w:ascii="Times New Roman" w:hAnsi="Times New Roman" w:cs="Times New Roman"/>
                <w:color w:val="000000"/>
                <w:sz w:val="20"/>
                <w:szCs w:val="20"/>
                <w:lang w:val="en-US"/>
              </w:rPr>
              <w:t>Hausman test (p-value) = 0.007; F-</w:t>
            </w:r>
            <w:r w:rsidR="00CB216A" w:rsidRPr="00CB216A">
              <w:rPr>
                <w:rFonts w:ascii="Times New Roman" w:hAnsi="Times New Roman" w:cs="Times New Roman"/>
                <w:color w:val="000000"/>
                <w:sz w:val="20"/>
                <w:szCs w:val="20"/>
                <w:lang w:val="en-US"/>
              </w:rPr>
              <w:t>statistic</w:t>
            </w:r>
            <w:r w:rsidRPr="00CB216A">
              <w:rPr>
                <w:rFonts w:ascii="Times New Roman" w:hAnsi="Times New Roman" w:cs="Times New Roman"/>
                <w:color w:val="000000"/>
                <w:sz w:val="20"/>
                <w:szCs w:val="20"/>
                <w:lang w:val="en-US"/>
              </w:rPr>
              <w:t xml:space="preserve"> (p-value) = 0.001; Adj. R</w:t>
            </w:r>
            <w:r w:rsidRPr="00CB216A">
              <w:rPr>
                <w:rFonts w:ascii="Times New Roman" w:hAnsi="Times New Roman" w:cs="Times New Roman"/>
                <w:color w:val="000000"/>
                <w:sz w:val="20"/>
                <w:szCs w:val="20"/>
                <w:vertAlign w:val="superscript"/>
                <w:lang w:val="en-US"/>
              </w:rPr>
              <w:t>2</w:t>
            </w:r>
            <w:r w:rsidR="006008B9" w:rsidRPr="00CB216A">
              <w:rPr>
                <w:rFonts w:ascii="Times New Roman" w:hAnsi="Times New Roman" w:cs="Times New Roman"/>
                <w:color w:val="000000"/>
                <w:sz w:val="20"/>
                <w:szCs w:val="20"/>
                <w:lang w:val="en-US"/>
              </w:rPr>
              <w:t xml:space="preserve"> = 0.335; KS-test (p-value) = 0.</w:t>
            </w:r>
            <w:r w:rsidRPr="00CB216A">
              <w:rPr>
                <w:rFonts w:ascii="Times New Roman" w:hAnsi="Times New Roman" w:cs="Times New Roman"/>
                <w:color w:val="000000"/>
                <w:sz w:val="20"/>
                <w:szCs w:val="20"/>
                <w:lang w:val="en-US"/>
              </w:rPr>
              <w:t>892; VIF = 1.291 - 1.085; DW = 2.117; and BP</w:t>
            </w:r>
            <w:r w:rsidR="00294E9C" w:rsidRPr="00CB216A">
              <w:rPr>
                <w:rFonts w:ascii="Times New Roman" w:hAnsi="Times New Roman" w:cs="Times New Roman"/>
                <w:color w:val="000000"/>
                <w:sz w:val="20"/>
                <w:szCs w:val="20"/>
                <w:lang w:val="en-US"/>
              </w:rPr>
              <w:t xml:space="preserve"> </w:t>
            </w:r>
            <w:r w:rsidRPr="00CB216A">
              <w:rPr>
                <w:rFonts w:ascii="Times New Roman" w:hAnsi="Times New Roman" w:cs="Times New Roman"/>
                <w:color w:val="000000"/>
                <w:sz w:val="20"/>
                <w:szCs w:val="20"/>
                <w:lang w:val="en-US"/>
              </w:rPr>
              <w:t>(p-value) =</w:t>
            </w:r>
            <w:r w:rsidRPr="00CB216A">
              <w:rPr>
                <w:rFonts w:ascii="Arial" w:hAnsi="Arial" w:cs="Arial"/>
                <w:color w:val="000000"/>
                <w:sz w:val="20"/>
                <w:szCs w:val="20"/>
                <w:lang w:val="en-US"/>
              </w:rPr>
              <w:t xml:space="preserve"> </w:t>
            </w:r>
            <w:r w:rsidRPr="00CB216A">
              <w:rPr>
                <w:rFonts w:ascii="Times New Roman" w:hAnsi="Times New Roman" w:cs="Times New Roman"/>
                <w:color w:val="000000"/>
                <w:sz w:val="20"/>
                <w:szCs w:val="20"/>
                <w:lang w:val="en-US"/>
              </w:rPr>
              <w:t>0.060.</w:t>
            </w:r>
          </w:p>
        </w:tc>
      </w:tr>
    </w:tbl>
    <w:p w:rsidR="001B047D" w:rsidRPr="00CB216A" w:rsidRDefault="0046403F" w:rsidP="00887E9E">
      <w:pPr>
        <w:shd w:val="clear" w:color="auto" w:fill="FFFFFF" w:themeFill="background1"/>
        <w:spacing w:line="240" w:lineRule="auto"/>
        <w:ind w:left="284" w:right="310"/>
        <w:jc w:val="both"/>
        <w:rPr>
          <w:rFonts w:ascii="Times New Roman" w:hAnsi="Times New Roman" w:cs="Times New Roman"/>
          <w:lang w:val="en-US"/>
        </w:rPr>
      </w:pPr>
      <w:r w:rsidRPr="00CB216A">
        <w:rPr>
          <w:lang w:val="en-US"/>
        </w:rPr>
        <w:t xml:space="preserve"> </w:t>
      </w:r>
      <w:r w:rsidRPr="00CB216A">
        <w:rPr>
          <w:rFonts w:ascii="Times New Roman" w:hAnsi="Times New Roman" w:cs="Times New Roman"/>
          <w:lang w:val="en-US"/>
        </w:rPr>
        <w:t xml:space="preserve">Note: </w:t>
      </w:r>
      <w:r w:rsidRPr="00CB216A">
        <w:rPr>
          <w:rFonts w:ascii="Times New Roman" w:hAnsi="Times New Roman" w:cs="Times New Roman"/>
          <w:vertAlign w:val="superscript"/>
          <w:lang w:val="en-US"/>
        </w:rPr>
        <w:t>*</w:t>
      </w:r>
      <w:r w:rsidRPr="00CB216A">
        <w:rPr>
          <w:rFonts w:ascii="Times New Roman" w:hAnsi="Times New Roman" w:cs="Times New Roman"/>
          <w:lang w:val="en-US"/>
        </w:rPr>
        <w:t xml:space="preserve"> shows significance at the 1% level, the Hausman test is performed to select a proper model </w:t>
      </w:r>
      <w:r w:rsidR="00CB216A" w:rsidRPr="00CB216A">
        <w:rPr>
          <w:rFonts w:ascii="Times New Roman" w:hAnsi="Times New Roman" w:cs="Times New Roman"/>
          <w:lang w:val="en-US"/>
        </w:rPr>
        <w:t>between</w:t>
      </w:r>
      <w:r w:rsidRPr="00CB216A">
        <w:rPr>
          <w:rFonts w:ascii="Times New Roman" w:hAnsi="Times New Roman" w:cs="Times New Roman"/>
          <w:lang w:val="en-US"/>
        </w:rPr>
        <w:t xml:space="preserve"> fixed and random effect models, Adj. R</w:t>
      </w:r>
      <w:r w:rsidRPr="00CB216A">
        <w:rPr>
          <w:rFonts w:ascii="Times New Roman" w:hAnsi="Times New Roman" w:cs="Times New Roman"/>
          <w:vertAlign w:val="superscript"/>
          <w:lang w:val="en-US"/>
        </w:rPr>
        <w:t>2</w:t>
      </w:r>
      <w:r w:rsidRPr="00CB216A">
        <w:rPr>
          <w:rFonts w:ascii="Times New Roman" w:hAnsi="Times New Roman" w:cs="Times New Roman"/>
          <w:lang w:val="en-US"/>
        </w:rPr>
        <w:t xml:space="preserve"> is the Adjusted R-</w:t>
      </w:r>
      <w:r w:rsidR="00CB216A" w:rsidRPr="00CB216A">
        <w:rPr>
          <w:rFonts w:ascii="Times New Roman" w:hAnsi="Times New Roman" w:cs="Times New Roman"/>
          <w:lang w:val="en-US"/>
        </w:rPr>
        <w:t>squared</w:t>
      </w:r>
      <w:r w:rsidRPr="00CB216A">
        <w:rPr>
          <w:rFonts w:ascii="Times New Roman" w:hAnsi="Times New Roman" w:cs="Times New Roman"/>
          <w:lang w:val="en-US"/>
        </w:rPr>
        <w:t>, KS is the Kolmog</w:t>
      </w:r>
      <w:r w:rsidR="00CB216A">
        <w:rPr>
          <w:rFonts w:ascii="Times New Roman" w:hAnsi="Times New Roman" w:cs="Times New Roman"/>
          <w:lang w:val="en-US"/>
        </w:rPr>
        <w:t>o</w:t>
      </w:r>
      <w:r w:rsidRPr="00CB216A">
        <w:rPr>
          <w:rFonts w:ascii="Times New Roman" w:hAnsi="Times New Roman" w:cs="Times New Roman"/>
          <w:lang w:val="en-US"/>
        </w:rPr>
        <w:t>rov-Smirnov test for normality, VIF is the variance inflation factor criteria for multicollinearity, DW is the Durbin-Watson test for autocorrelation, and BP is the Bruesch-Pagan test for heteros</w:t>
      </w:r>
      <w:r w:rsidR="006008B9" w:rsidRPr="00CB216A">
        <w:rPr>
          <w:rFonts w:ascii="Times New Roman" w:hAnsi="Times New Roman" w:cs="Times New Roman"/>
          <w:lang w:val="en-US"/>
        </w:rPr>
        <w:t>ce</w:t>
      </w:r>
      <w:r w:rsidRPr="00CB216A">
        <w:rPr>
          <w:rFonts w:ascii="Times New Roman" w:hAnsi="Times New Roman" w:cs="Times New Roman"/>
          <w:lang w:val="en-US"/>
        </w:rPr>
        <w:t>dasticity.</w:t>
      </w:r>
    </w:p>
    <w:p w:rsidR="00294E9C" w:rsidRPr="00CB216A" w:rsidRDefault="0046403F" w:rsidP="008825FF">
      <w:pPr>
        <w:shd w:val="clear" w:color="auto" w:fill="FFFFFF" w:themeFill="background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As reported in Table 4, of the four investigated determinants of Islamic stock returns, only profitability is documented to have a positive significant effect on the return</w:t>
      </w:r>
      <w:r w:rsidR="002356F9" w:rsidRPr="00CB216A">
        <w:rPr>
          <w:rFonts w:ascii="Times New Roman" w:hAnsi="Times New Roman" w:cs="Times New Roman"/>
          <w:sz w:val="24"/>
          <w:szCs w:val="24"/>
          <w:lang w:val="en-US"/>
        </w:rPr>
        <w:t>s</w:t>
      </w:r>
      <w:r w:rsidRPr="00CB216A">
        <w:rPr>
          <w:rFonts w:ascii="Times New Roman" w:hAnsi="Times New Roman" w:cs="Times New Roman"/>
          <w:sz w:val="24"/>
          <w:szCs w:val="24"/>
          <w:lang w:val="en-US"/>
        </w:rPr>
        <w:t xml:space="preserve"> of Islamic stocks at the 1% level of signi</w:t>
      </w:r>
      <w:r w:rsidR="00CB216A">
        <w:rPr>
          <w:rFonts w:ascii="Times New Roman" w:hAnsi="Times New Roman" w:cs="Times New Roman"/>
          <w:sz w:val="24"/>
          <w:szCs w:val="24"/>
          <w:lang w:val="en-US"/>
        </w:rPr>
        <w:t>fi</w:t>
      </w:r>
      <w:r w:rsidRPr="00CB216A">
        <w:rPr>
          <w:rFonts w:ascii="Times New Roman" w:hAnsi="Times New Roman" w:cs="Times New Roman"/>
          <w:sz w:val="24"/>
          <w:szCs w:val="24"/>
          <w:lang w:val="en-US"/>
        </w:rPr>
        <w:t xml:space="preserve">cance, while liquidity, </w:t>
      </w:r>
      <w:r w:rsidR="009C4504" w:rsidRPr="00CB216A">
        <w:rPr>
          <w:rFonts w:ascii="Times New Roman" w:hAnsi="Times New Roman" w:cs="Times New Roman"/>
          <w:sz w:val="24"/>
          <w:szCs w:val="24"/>
          <w:lang w:val="en-US"/>
        </w:rPr>
        <w:t>solvency</w:t>
      </w:r>
      <w:r w:rsidRPr="00CB216A">
        <w:rPr>
          <w:rFonts w:ascii="Times New Roman" w:hAnsi="Times New Roman" w:cs="Times New Roman"/>
          <w:sz w:val="24"/>
          <w:szCs w:val="24"/>
          <w:lang w:val="en-US"/>
        </w:rPr>
        <w:t xml:space="preserve">, and </w:t>
      </w:r>
      <w:r w:rsidRPr="00CB216A">
        <w:rPr>
          <w:rFonts w:ascii="Times New Roman" w:hAnsi="Times New Roman" w:cs="Times New Roman"/>
          <w:sz w:val="24"/>
          <w:szCs w:val="24"/>
          <w:lang w:val="en-US"/>
        </w:rPr>
        <w:t>firm size has an insignificant effect. Specifically, the study found that an increase in profitability by 1% has caused the value of stock returns will also increase by 16.34%</w:t>
      </w:r>
      <w:r w:rsidR="002356F9" w:rsidRPr="00CB216A">
        <w:rPr>
          <w:rFonts w:ascii="Times New Roman" w:hAnsi="Times New Roman" w:cs="Times New Roman"/>
          <w:sz w:val="24"/>
          <w:szCs w:val="24"/>
          <w:lang w:val="en-US"/>
        </w:rPr>
        <w:t xml:space="preserve">. Thus, to gain a higher profit, </w:t>
      </w:r>
      <w:r w:rsidRPr="00CB216A">
        <w:rPr>
          <w:rFonts w:ascii="Times New Roman" w:hAnsi="Times New Roman" w:cs="Times New Roman"/>
          <w:sz w:val="24"/>
          <w:szCs w:val="24"/>
          <w:lang w:val="en-US"/>
        </w:rPr>
        <w:t>investor</w:t>
      </w:r>
      <w:r w:rsidR="002356F9" w:rsidRPr="00CB216A">
        <w:rPr>
          <w:rFonts w:ascii="Times New Roman" w:hAnsi="Times New Roman" w:cs="Times New Roman"/>
          <w:sz w:val="24"/>
          <w:szCs w:val="24"/>
          <w:lang w:val="en-US"/>
        </w:rPr>
        <w:t xml:space="preserve">s </w:t>
      </w:r>
      <w:r w:rsidRPr="00CB216A">
        <w:rPr>
          <w:rFonts w:ascii="Times New Roman" w:hAnsi="Times New Roman" w:cs="Times New Roman"/>
          <w:sz w:val="24"/>
          <w:szCs w:val="24"/>
          <w:lang w:val="en-US"/>
        </w:rPr>
        <w:t xml:space="preserve">in </w:t>
      </w:r>
      <w:r w:rsidR="002356F9" w:rsidRPr="00CB216A">
        <w:rPr>
          <w:rFonts w:ascii="Times New Roman" w:hAnsi="Times New Roman" w:cs="Times New Roman"/>
          <w:sz w:val="24"/>
          <w:szCs w:val="24"/>
          <w:lang w:val="en-US"/>
        </w:rPr>
        <w:t xml:space="preserve">the Indonesian Islamic stock market should select firms with higher </w:t>
      </w:r>
      <w:r w:rsidRPr="00CB216A">
        <w:rPr>
          <w:rFonts w:ascii="Times New Roman" w:hAnsi="Times New Roman" w:cs="Times New Roman"/>
          <w:sz w:val="24"/>
          <w:szCs w:val="24"/>
          <w:lang w:val="en-US"/>
        </w:rPr>
        <w:t>profitability</w:t>
      </w:r>
      <w:r w:rsidR="002356F9" w:rsidRPr="00CB216A">
        <w:rPr>
          <w:rFonts w:ascii="Times New Roman" w:hAnsi="Times New Roman" w:cs="Times New Roman"/>
          <w:sz w:val="24"/>
          <w:szCs w:val="24"/>
          <w:lang w:val="en-US"/>
        </w:rPr>
        <w:t>. T</w:t>
      </w:r>
      <w:r w:rsidRPr="00CB216A">
        <w:rPr>
          <w:rFonts w:ascii="Times New Roman" w:hAnsi="Times New Roman" w:cs="Times New Roman"/>
          <w:sz w:val="24"/>
          <w:szCs w:val="24"/>
          <w:lang w:val="en-US"/>
        </w:rPr>
        <w:t>h</w:t>
      </w:r>
      <w:r w:rsidR="002356F9" w:rsidRPr="00CB216A">
        <w:rPr>
          <w:rFonts w:ascii="Times New Roman" w:hAnsi="Times New Roman" w:cs="Times New Roman"/>
          <w:sz w:val="24"/>
          <w:szCs w:val="24"/>
          <w:lang w:val="en-US"/>
        </w:rPr>
        <w:t xml:space="preserve">is empirical evidence support the findings of earlier studies by </w:t>
      </w:r>
      <w:r w:rsidRPr="00CB216A">
        <w:rPr>
          <w:rFonts w:ascii="Times New Roman" w:hAnsi="Times New Roman" w:cs="Times New Roman"/>
          <w:sz w:val="24"/>
          <w:szCs w:val="24"/>
          <w:lang w:val="en-US"/>
        </w:rPr>
        <w:t xml:space="preserve">Gunawan and Hardyani (2014), </w:t>
      </w:r>
      <w:r w:rsidR="008825FF" w:rsidRPr="00CB216A">
        <w:rPr>
          <w:rFonts w:ascii="Times New Roman" w:hAnsi="Times New Roman" w:cs="Times New Roman"/>
          <w:sz w:val="24"/>
          <w:szCs w:val="24"/>
          <w:shd w:val="clear" w:color="auto" w:fill="FFFFFF"/>
          <w:lang w:val="en-US"/>
        </w:rPr>
        <w:t xml:space="preserve">Amalia et al. (2014), </w:t>
      </w:r>
      <w:r w:rsidRPr="00CB216A">
        <w:rPr>
          <w:rFonts w:ascii="Times New Roman" w:hAnsi="Times New Roman" w:cs="Times New Roman"/>
          <w:sz w:val="24"/>
          <w:szCs w:val="24"/>
          <w:lang w:val="en-US"/>
        </w:rPr>
        <w:t>Antara et al. (2014), Raningsih and Putra (2015), Gunadi and Kesuma (2015)</w:t>
      </w:r>
      <w:r w:rsidR="002356F9" w:rsidRPr="00CB216A">
        <w:rPr>
          <w:rFonts w:ascii="Times New Roman" w:hAnsi="Times New Roman" w:cs="Times New Roman"/>
          <w:sz w:val="24"/>
          <w:szCs w:val="24"/>
          <w:lang w:val="en-US"/>
        </w:rPr>
        <w:t>,</w:t>
      </w:r>
      <w:r w:rsidRPr="00CB216A">
        <w:rPr>
          <w:rFonts w:ascii="Times New Roman" w:hAnsi="Times New Roman" w:cs="Times New Roman"/>
          <w:sz w:val="24"/>
          <w:szCs w:val="24"/>
          <w:lang w:val="en-US"/>
        </w:rPr>
        <w:t xml:space="preserve"> </w:t>
      </w:r>
      <w:r w:rsidR="008825FF" w:rsidRPr="00CB216A">
        <w:rPr>
          <w:rFonts w:ascii="Times New Roman" w:hAnsi="Times New Roman" w:cs="Times New Roman"/>
          <w:sz w:val="24"/>
          <w:szCs w:val="24"/>
          <w:shd w:val="clear" w:color="auto" w:fill="FFFFFF"/>
          <w:lang w:val="en-US"/>
        </w:rPr>
        <w:t xml:space="preserve">Midesia et al. (2016), </w:t>
      </w:r>
      <w:r w:rsidRPr="00CB216A">
        <w:rPr>
          <w:rFonts w:ascii="Times New Roman" w:hAnsi="Times New Roman" w:cs="Times New Roman"/>
          <w:sz w:val="24"/>
          <w:szCs w:val="24"/>
          <w:lang w:val="en-US"/>
        </w:rPr>
        <w:t xml:space="preserve">and Nandani and Suddjani (2017) which </w:t>
      </w:r>
      <w:r w:rsidR="002356F9" w:rsidRPr="00CB216A">
        <w:rPr>
          <w:rFonts w:ascii="Times New Roman" w:hAnsi="Times New Roman" w:cs="Times New Roman"/>
          <w:sz w:val="24"/>
          <w:szCs w:val="24"/>
          <w:lang w:val="en-US"/>
        </w:rPr>
        <w:t xml:space="preserve">documented </w:t>
      </w:r>
      <w:r w:rsidRPr="00CB216A">
        <w:rPr>
          <w:rFonts w:ascii="Times New Roman" w:hAnsi="Times New Roman" w:cs="Times New Roman"/>
          <w:sz w:val="24"/>
          <w:szCs w:val="24"/>
          <w:lang w:val="en-US"/>
        </w:rPr>
        <w:t xml:space="preserve">that profitability has a positive </w:t>
      </w:r>
      <w:r w:rsidR="002356F9" w:rsidRPr="00CB216A">
        <w:rPr>
          <w:rFonts w:ascii="Times New Roman" w:hAnsi="Times New Roman" w:cs="Times New Roman"/>
          <w:sz w:val="24"/>
          <w:szCs w:val="24"/>
          <w:lang w:val="en-US"/>
        </w:rPr>
        <w:t xml:space="preserve">significant </w:t>
      </w:r>
      <w:r w:rsidRPr="00CB216A">
        <w:rPr>
          <w:rFonts w:ascii="Times New Roman" w:hAnsi="Times New Roman" w:cs="Times New Roman"/>
          <w:sz w:val="24"/>
          <w:szCs w:val="24"/>
          <w:lang w:val="en-US"/>
        </w:rPr>
        <w:t>effect on stock returns.</w:t>
      </w:r>
    </w:p>
    <w:p w:rsidR="00013CC7" w:rsidRPr="00CB216A" w:rsidRDefault="0046403F" w:rsidP="00294E9C">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lastRenderedPageBreak/>
        <w:t xml:space="preserve">On the other hand, </w:t>
      </w:r>
      <w:r w:rsidR="00294E9C" w:rsidRPr="00CB216A">
        <w:rPr>
          <w:rFonts w:ascii="Times New Roman" w:hAnsi="Times New Roman" w:cs="Times New Roman"/>
          <w:sz w:val="24"/>
          <w:szCs w:val="24"/>
          <w:lang w:val="en-US"/>
        </w:rPr>
        <w:t>liquidity</w:t>
      </w:r>
      <w:r w:rsidRPr="00CB216A">
        <w:rPr>
          <w:rFonts w:ascii="Times New Roman" w:hAnsi="Times New Roman" w:cs="Times New Roman"/>
          <w:sz w:val="24"/>
          <w:szCs w:val="24"/>
          <w:lang w:val="en-US"/>
        </w:rPr>
        <w:t xml:space="preserve">, </w:t>
      </w:r>
      <w:r w:rsidR="009C4504" w:rsidRPr="00CB216A">
        <w:rPr>
          <w:rFonts w:ascii="Times New Roman" w:hAnsi="Times New Roman" w:cs="Times New Roman"/>
          <w:sz w:val="24"/>
          <w:szCs w:val="24"/>
          <w:lang w:val="en-US"/>
        </w:rPr>
        <w:t>solvency</w:t>
      </w:r>
      <w:r w:rsidRPr="00CB216A">
        <w:rPr>
          <w:rFonts w:ascii="Times New Roman" w:hAnsi="Times New Roman" w:cs="Times New Roman"/>
          <w:sz w:val="24"/>
          <w:szCs w:val="24"/>
          <w:lang w:val="en-US"/>
        </w:rPr>
        <w:t xml:space="preserve">, and firm size were found to have insignificant influences on </w:t>
      </w:r>
      <w:r w:rsidR="00294E9C" w:rsidRPr="00CB216A">
        <w:rPr>
          <w:rFonts w:ascii="Times New Roman" w:hAnsi="Times New Roman" w:cs="Times New Roman"/>
          <w:sz w:val="24"/>
          <w:szCs w:val="24"/>
          <w:lang w:val="en-US"/>
        </w:rPr>
        <w:t>Islamic stock returns</w:t>
      </w:r>
      <w:r w:rsidRPr="00CB216A">
        <w:rPr>
          <w:rFonts w:ascii="Times New Roman" w:hAnsi="Times New Roman" w:cs="Times New Roman"/>
          <w:sz w:val="24"/>
          <w:szCs w:val="24"/>
          <w:lang w:val="en-US"/>
        </w:rPr>
        <w:t xml:space="preserve">. This </w:t>
      </w:r>
      <w:r w:rsidR="00294E9C" w:rsidRPr="00CB216A">
        <w:rPr>
          <w:rFonts w:ascii="Times New Roman" w:hAnsi="Times New Roman" w:cs="Times New Roman"/>
          <w:sz w:val="24"/>
          <w:szCs w:val="24"/>
          <w:lang w:val="en-US"/>
        </w:rPr>
        <w:t xml:space="preserve">conclusion is </w:t>
      </w:r>
      <w:r w:rsidRPr="00CB216A">
        <w:rPr>
          <w:rFonts w:ascii="Times New Roman" w:hAnsi="Times New Roman" w:cs="Times New Roman"/>
          <w:sz w:val="24"/>
          <w:szCs w:val="24"/>
          <w:lang w:val="en-US"/>
        </w:rPr>
        <w:t>made due to the in</w:t>
      </w:r>
      <w:r w:rsidR="00294E9C" w:rsidRPr="00CB216A">
        <w:rPr>
          <w:rFonts w:ascii="Times New Roman" w:hAnsi="Times New Roman" w:cs="Times New Roman"/>
          <w:sz w:val="24"/>
          <w:szCs w:val="24"/>
          <w:lang w:val="en-US"/>
        </w:rPr>
        <w:t xml:space="preserve">significance </w:t>
      </w:r>
      <w:r w:rsidRPr="00CB216A">
        <w:rPr>
          <w:rFonts w:ascii="Times New Roman" w:hAnsi="Times New Roman" w:cs="Times New Roman"/>
          <w:sz w:val="24"/>
          <w:szCs w:val="24"/>
          <w:lang w:val="en-US"/>
        </w:rPr>
        <w:t xml:space="preserve">probability </w:t>
      </w:r>
      <w:r w:rsidR="00294E9C" w:rsidRPr="00CB216A">
        <w:rPr>
          <w:rFonts w:ascii="Times New Roman" w:hAnsi="Times New Roman" w:cs="Times New Roman"/>
          <w:sz w:val="24"/>
          <w:szCs w:val="24"/>
          <w:lang w:val="en-US"/>
        </w:rPr>
        <w:t>value</w:t>
      </w:r>
      <w:r w:rsidRPr="00CB216A">
        <w:rPr>
          <w:rFonts w:ascii="Times New Roman" w:hAnsi="Times New Roman" w:cs="Times New Roman"/>
          <w:sz w:val="24"/>
          <w:szCs w:val="24"/>
          <w:lang w:val="en-US"/>
        </w:rPr>
        <w:t xml:space="preserve">s of these estimated independent variables. </w:t>
      </w:r>
      <w:r w:rsidR="00294E9C" w:rsidRPr="00CB216A">
        <w:rPr>
          <w:rFonts w:ascii="Times New Roman" w:hAnsi="Times New Roman" w:cs="Times New Roman"/>
          <w:sz w:val="24"/>
          <w:szCs w:val="24"/>
          <w:lang w:val="en-US"/>
        </w:rPr>
        <w:t>Th</w:t>
      </w:r>
      <w:r w:rsidRPr="00CB216A">
        <w:rPr>
          <w:rFonts w:ascii="Times New Roman" w:hAnsi="Times New Roman" w:cs="Times New Roman"/>
          <w:sz w:val="24"/>
          <w:szCs w:val="24"/>
          <w:lang w:val="en-US"/>
        </w:rPr>
        <w:t xml:space="preserve">us, these findings </w:t>
      </w:r>
      <w:r w:rsidR="00CB216A" w:rsidRPr="00CB216A">
        <w:rPr>
          <w:rFonts w:ascii="Times New Roman" w:hAnsi="Times New Roman" w:cs="Times New Roman"/>
          <w:sz w:val="24"/>
          <w:szCs w:val="24"/>
          <w:lang w:val="en-US"/>
        </w:rPr>
        <w:t>imply</w:t>
      </w:r>
      <w:r w:rsidRPr="00CB216A">
        <w:rPr>
          <w:rFonts w:ascii="Times New Roman" w:hAnsi="Times New Roman" w:cs="Times New Roman"/>
          <w:sz w:val="24"/>
          <w:szCs w:val="24"/>
          <w:lang w:val="en-US"/>
        </w:rPr>
        <w:t xml:space="preserve"> </w:t>
      </w:r>
      <w:r w:rsidR="00294E9C" w:rsidRPr="00CB216A">
        <w:rPr>
          <w:rFonts w:ascii="Times New Roman" w:hAnsi="Times New Roman" w:cs="Times New Roman"/>
          <w:sz w:val="24"/>
          <w:szCs w:val="24"/>
          <w:lang w:val="en-US"/>
        </w:rPr>
        <w:t xml:space="preserve">that </w:t>
      </w:r>
      <w:r w:rsidRPr="00CB216A">
        <w:rPr>
          <w:rFonts w:ascii="Times New Roman" w:hAnsi="Times New Roman" w:cs="Times New Roman"/>
          <w:sz w:val="24"/>
          <w:szCs w:val="24"/>
          <w:lang w:val="en-US"/>
        </w:rPr>
        <w:t xml:space="preserve">liquidity, </w:t>
      </w:r>
      <w:r w:rsidR="009C4504" w:rsidRPr="00CB216A">
        <w:rPr>
          <w:rFonts w:ascii="Times New Roman" w:hAnsi="Times New Roman" w:cs="Times New Roman"/>
          <w:sz w:val="24"/>
          <w:szCs w:val="24"/>
          <w:lang w:val="en-US"/>
        </w:rPr>
        <w:t>solvency</w:t>
      </w:r>
      <w:r w:rsidRPr="00CB216A">
        <w:rPr>
          <w:rFonts w:ascii="Times New Roman" w:hAnsi="Times New Roman" w:cs="Times New Roman"/>
          <w:sz w:val="24"/>
          <w:szCs w:val="24"/>
          <w:lang w:val="en-US"/>
        </w:rPr>
        <w:t xml:space="preserve">, firm size played insignificant roles in determining and predicting the Islamic stock </w:t>
      </w:r>
      <w:r w:rsidR="00CB216A" w:rsidRPr="00CB216A">
        <w:rPr>
          <w:rFonts w:ascii="Times New Roman" w:hAnsi="Times New Roman" w:cs="Times New Roman"/>
          <w:sz w:val="24"/>
          <w:szCs w:val="24"/>
          <w:lang w:val="en-US"/>
        </w:rPr>
        <w:t>returns</w:t>
      </w:r>
      <w:r w:rsidRPr="00CB216A">
        <w:rPr>
          <w:rFonts w:ascii="Times New Roman" w:hAnsi="Times New Roman" w:cs="Times New Roman"/>
          <w:sz w:val="24"/>
          <w:szCs w:val="24"/>
          <w:lang w:val="en-US"/>
        </w:rPr>
        <w:t xml:space="preserve">. In other words, to gain maximum benefits of investment </w:t>
      </w:r>
      <w:r w:rsidR="00CB216A" w:rsidRPr="00CB216A">
        <w:rPr>
          <w:rFonts w:ascii="Times New Roman" w:hAnsi="Times New Roman" w:cs="Times New Roman"/>
          <w:sz w:val="24"/>
          <w:szCs w:val="24"/>
          <w:lang w:val="en-US"/>
        </w:rPr>
        <w:t>diversifications</w:t>
      </w:r>
      <w:r w:rsidRPr="00CB216A">
        <w:rPr>
          <w:rFonts w:ascii="Times New Roman" w:hAnsi="Times New Roman" w:cs="Times New Roman"/>
          <w:sz w:val="24"/>
          <w:szCs w:val="24"/>
          <w:lang w:val="en-US"/>
        </w:rPr>
        <w:t xml:space="preserve"> in the Islamic stock market, investors should not rely on these insignificant determinants.</w:t>
      </w:r>
    </w:p>
    <w:p w:rsidR="00294E9C" w:rsidRPr="00CB216A" w:rsidRDefault="0046403F" w:rsidP="00294E9C">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The insignificant effect of liquidity on the Islamic stock returns is in line with the </w:t>
      </w:r>
      <w:r w:rsidR="00CB216A" w:rsidRPr="00CB216A">
        <w:rPr>
          <w:rFonts w:ascii="Times New Roman" w:hAnsi="Times New Roman" w:cs="Times New Roman"/>
          <w:sz w:val="24"/>
          <w:szCs w:val="24"/>
          <w:lang w:val="en-US"/>
        </w:rPr>
        <w:t>empirical</w:t>
      </w:r>
      <w:r w:rsidRPr="00CB216A">
        <w:rPr>
          <w:rFonts w:ascii="Times New Roman" w:hAnsi="Times New Roman" w:cs="Times New Roman"/>
          <w:sz w:val="24"/>
          <w:szCs w:val="24"/>
          <w:lang w:val="en-US"/>
        </w:rPr>
        <w:t xml:space="preserve"> evidences documented in the studies by Haanurat (2013), Gunawan and Hardyani (2014), Anggrahini and Priyadi (2016), and Fitriana et al. (2016). However, our finding contradicts the results of studies by Mayfi and Rudianto (2014), Raningsih and Put</w:t>
      </w:r>
      <w:r w:rsidRPr="00CB216A">
        <w:rPr>
          <w:rFonts w:ascii="Times New Roman" w:hAnsi="Times New Roman" w:cs="Times New Roman"/>
          <w:sz w:val="24"/>
          <w:szCs w:val="24"/>
          <w:lang w:val="en-US"/>
        </w:rPr>
        <w:t>ra (2015), Parwati and Sudiartha (2016), Anwaar (2016), and Nandani and Surdjani (2017) that found a significant effect of liquidity on stock returns.</w:t>
      </w:r>
    </w:p>
    <w:p w:rsidR="00294E9C" w:rsidRPr="00CB216A" w:rsidRDefault="0046403F" w:rsidP="00294E9C">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Furthermore, the </w:t>
      </w:r>
      <w:r w:rsidR="00F34160" w:rsidRPr="00CB216A">
        <w:rPr>
          <w:rFonts w:ascii="Times New Roman" w:hAnsi="Times New Roman" w:cs="Times New Roman"/>
          <w:sz w:val="24"/>
          <w:szCs w:val="24"/>
          <w:lang w:val="en-US"/>
        </w:rPr>
        <w:t xml:space="preserve">study also found </w:t>
      </w:r>
      <w:r w:rsidRPr="00CB216A">
        <w:rPr>
          <w:rFonts w:ascii="Times New Roman" w:hAnsi="Times New Roman" w:cs="Times New Roman"/>
          <w:sz w:val="24"/>
          <w:szCs w:val="24"/>
          <w:lang w:val="en-US"/>
        </w:rPr>
        <w:t xml:space="preserve">an insignificant effect of </w:t>
      </w:r>
      <w:r w:rsidR="009C4504" w:rsidRPr="00CB216A">
        <w:rPr>
          <w:rFonts w:ascii="Times New Roman" w:hAnsi="Times New Roman" w:cs="Times New Roman"/>
          <w:sz w:val="24"/>
          <w:szCs w:val="24"/>
          <w:lang w:val="en-US"/>
        </w:rPr>
        <w:t>solvency</w:t>
      </w:r>
      <w:r w:rsidRPr="00CB216A">
        <w:rPr>
          <w:rFonts w:ascii="Times New Roman" w:hAnsi="Times New Roman" w:cs="Times New Roman"/>
          <w:sz w:val="24"/>
          <w:szCs w:val="24"/>
          <w:lang w:val="en-US"/>
        </w:rPr>
        <w:t xml:space="preserve"> on Islamic stock returns</w:t>
      </w:r>
      <w:r w:rsidR="00F34160" w:rsidRPr="00CB216A">
        <w:rPr>
          <w:rFonts w:ascii="Times New Roman" w:hAnsi="Times New Roman" w:cs="Times New Roman"/>
          <w:sz w:val="24"/>
          <w:szCs w:val="24"/>
          <w:lang w:val="en-US"/>
        </w:rPr>
        <w:t xml:space="preserve">. Firms </w:t>
      </w:r>
      <w:r w:rsidRPr="00CB216A">
        <w:rPr>
          <w:rFonts w:ascii="Times New Roman" w:hAnsi="Times New Roman" w:cs="Times New Roman"/>
          <w:sz w:val="24"/>
          <w:szCs w:val="24"/>
          <w:lang w:val="en-US"/>
        </w:rPr>
        <w:t>who</w:t>
      </w:r>
      <w:r w:rsidRPr="00CB216A">
        <w:rPr>
          <w:rFonts w:ascii="Times New Roman" w:hAnsi="Times New Roman" w:cs="Times New Roman"/>
          <w:sz w:val="24"/>
          <w:szCs w:val="24"/>
          <w:lang w:val="en-US"/>
        </w:rPr>
        <w:t xml:space="preserve">se </w:t>
      </w:r>
      <w:r w:rsidR="00F34160" w:rsidRPr="00CB216A">
        <w:rPr>
          <w:rFonts w:ascii="Times New Roman" w:hAnsi="Times New Roman" w:cs="Times New Roman"/>
          <w:sz w:val="24"/>
          <w:szCs w:val="24"/>
          <w:lang w:val="en-US"/>
        </w:rPr>
        <w:t xml:space="preserve">capital is sourced </w:t>
      </w:r>
      <w:r w:rsidRPr="00CB216A">
        <w:rPr>
          <w:rFonts w:ascii="Times New Roman" w:hAnsi="Times New Roman" w:cs="Times New Roman"/>
          <w:sz w:val="24"/>
          <w:szCs w:val="24"/>
          <w:lang w:val="en-US"/>
        </w:rPr>
        <w:t>from debt</w:t>
      </w:r>
      <w:r w:rsidR="00F34160" w:rsidRPr="00CB216A">
        <w:rPr>
          <w:rFonts w:ascii="Times New Roman" w:hAnsi="Times New Roman" w:cs="Times New Roman"/>
          <w:sz w:val="24"/>
          <w:szCs w:val="24"/>
          <w:lang w:val="en-US"/>
        </w:rPr>
        <w:t>s</w:t>
      </w:r>
      <w:r w:rsidRPr="00CB216A">
        <w:rPr>
          <w:rFonts w:ascii="Times New Roman" w:hAnsi="Times New Roman" w:cs="Times New Roman"/>
          <w:sz w:val="24"/>
          <w:szCs w:val="24"/>
          <w:lang w:val="en-US"/>
        </w:rPr>
        <w:t xml:space="preserve"> or </w:t>
      </w:r>
      <w:r w:rsidR="00F34160" w:rsidRPr="00CB216A">
        <w:rPr>
          <w:rFonts w:ascii="Times New Roman" w:hAnsi="Times New Roman" w:cs="Times New Roman"/>
          <w:sz w:val="24"/>
          <w:szCs w:val="24"/>
          <w:lang w:val="en-US"/>
        </w:rPr>
        <w:t>huge l</w:t>
      </w:r>
      <w:r w:rsidRPr="00CB216A">
        <w:rPr>
          <w:rFonts w:ascii="Times New Roman" w:hAnsi="Times New Roman" w:cs="Times New Roman"/>
          <w:sz w:val="24"/>
          <w:szCs w:val="24"/>
          <w:lang w:val="en-US"/>
        </w:rPr>
        <w:t xml:space="preserve">oans are certainly riskier than companies with their own capital because the interest expense </w:t>
      </w:r>
      <w:r w:rsidR="00F34160" w:rsidRPr="00CB216A">
        <w:rPr>
          <w:rFonts w:ascii="Times New Roman" w:hAnsi="Times New Roman" w:cs="Times New Roman"/>
          <w:sz w:val="24"/>
          <w:szCs w:val="24"/>
          <w:lang w:val="en-US"/>
        </w:rPr>
        <w:t xml:space="preserve">is also </w:t>
      </w:r>
      <w:r w:rsidRPr="00CB216A">
        <w:rPr>
          <w:rFonts w:ascii="Times New Roman" w:hAnsi="Times New Roman" w:cs="Times New Roman"/>
          <w:sz w:val="24"/>
          <w:szCs w:val="24"/>
          <w:lang w:val="en-US"/>
        </w:rPr>
        <w:t xml:space="preserve">large. However, companies listed in the </w:t>
      </w:r>
      <w:r w:rsidR="00F34160" w:rsidRPr="00CB216A">
        <w:rPr>
          <w:rFonts w:ascii="Times New Roman" w:hAnsi="Times New Roman" w:cs="Times New Roman"/>
          <w:sz w:val="24"/>
          <w:szCs w:val="24"/>
          <w:lang w:val="en-US"/>
        </w:rPr>
        <w:t xml:space="preserve">JII </w:t>
      </w:r>
      <w:r w:rsidRPr="00CB216A">
        <w:rPr>
          <w:rFonts w:ascii="Times New Roman" w:hAnsi="Times New Roman" w:cs="Times New Roman"/>
          <w:sz w:val="24"/>
          <w:szCs w:val="24"/>
          <w:lang w:val="en-US"/>
        </w:rPr>
        <w:t xml:space="preserve">are companies that have certain restrictions on the use of external </w:t>
      </w:r>
      <w:r w:rsidRPr="00CB216A">
        <w:rPr>
          <w:rFonts w:ascii="Times New Roman" w:hAnsi="Times New Roman" w:cs="Times New Roman"/>
          <w:sz w:val="24"/>
          <w:szCs w:val="24"/>
          <w:lang w:val="en-US"/>
        </w:rPr>
        <w:t>loans. The interest-based debt allowed in Islamic stocks is less than 45%</w:t>
      </w:r>
      <w:r w:rsidR="00F34160" w:rsidRPr="00CB216A">
        <w:rPr>
          <w:rFonts w:ascii="Times New Roman" w:hAnsi="Times New Roman" w:cs="Times New Roman"/>
          <w:sz w:val="24"/>
          <w:szCs w:val="24"/>
          <w:lang w:val="en-US"/>
        </w:rPr>
        <w:t>, thus</w:t>
      </w:r>
      <w:r w:rsidRPr="00CB216A">
        <w:rPr>
          <w:rFonts w:ascii="Times New Roman" w:hAnsi="Times New Roman" w:cs="Times New Roman"/>
          <w:sz w:val="24"/>
          <w:szCs w:val="24"/>
          <w:lang w:val="en-US"/>
        </w:rPr>
        <w:t xml:space="preserve"> with this limit</w:t>
      </w:r>
      <w:r w:rsidR="00F34160" w:rsidRPr="00CB216A">
        <w:rPr>
          <w:rFonts w:ascii="Times New Roman" w:hAnsi="Times New Roman" w:cs="Times New Roman"/>
          <w:sz w:val="24"/>
          <w:szCs w:val="24"/>
          <w:lang w:val="en-US"/>
        </w:rPr>
        <w:t>,</w:t>
      </w:r>
      <w:r w:rsidRPr="00CB216A">
        <w:rPr>
          <w:rFonts w:ascii="Times New Roman" w:hAnsi="Times New Roman" w:cs="Times New Roman"/>
          <w:sz w:val="24"/>
          <w:szCs w:val="24"/>
          <w:lang w:val="en-US"/>
        </w:rPr>
        <w:t xml:space="preserve"> the company's debt w</w:t>
      </w:r>
      <w:r w:rsidR="00F34160" w:rsidRPr="00CB216A">
        <w:rPr>
          <w:rFonts w:ascii="Times New Roman" w:hAnsi="Times New Roman" w:cs="Times New Roman"/>
          <w:sz w:val="24"/>
          <w:szCs w:val="24"/>
          <w:lang w:val="en-US"/>
        </w:rPr>
        <w:t xml:space="preserve">ould </w:t>
      </w:r>
      <w:r w:rsidRPr="00CB216A">
        <w:rPr>
          <w:rFonts w:ascii="Times New Roman" w:hAnsi="Times New Roman" w:cs="Times New Roman"/>
          <w:sz w:val="24"/>
          <w:szCs w:val="24"/>
          <w:lang w:val="en-US"/>
        </w:rPr>
        <w:t xml:space="preserve">be more controlled and insensitive when there </w:t>
      </w:r>
      <w:r w:rsidR="00F34160" w:rsidRPr="00CB216A">
        <w:rPr>
          <w:rFonts w:ascii="Times New Roman" w:hAnsi="Times New Roman" w:cs="Times New Roman"/>
          <w:sz w:val="24"/>
          <w:szCs w:val="24"/>
          <w:lang w:val="en-US"/>
        </w:rPr>
        <w:t xml:space="preserve">was </w:t>
      </w:r>
      <w:r w:rsidRPr="00CB216A">
        <w:rPr>
          <w:rFonts w:ascii="Times New Roman" w:hAnsi="Times New Roman" w:cs="Times New Roman"/>
          <w:sz w:val="24"/>
          <w:szCs w:val="24"/>
          <w:lang w:val="en-US"/>
        </w:rPr>
        <w:t>an increase in interest rates. This makes investors have confidence in the JII compa</w:t>
      </w:r>
      <w:r w:rsidRPr="00CB216A">
        <w:rPr>
          <w:rFonts w:ascii="Times New Roman" w:hAnsi="Times New Roman" w:cs="Times New Roman"/>
          <w:sz w:val="24"/>
          <w:szCs w:val="24"/>
          <w:lang w:val="en-US"/>
        </w:rPr>
        <w:t>n</w:t>
      </w:r>
      <w:r w:rsidR="00F34160" w:rsidRPr="00CB216A">
        <w:rPr>
          <w:rFonts w:ascii="Times New Roman" w:hAnsi="Times New Roman" w:cs="Times New Roman"/>
          <w:sz w:val="24"/>
          <w:szCs w:val="24"/>
          <w:lang w:val="en-US"/>
        </w:rPr>
        <w:t xml:space="preserve">ies </w:t>
      </w:r>
      <w:r w:rsidRPr="00CB216A">
        <w:rPr>
          <w:rFonts w:ascii="Times New Roman" w:hAnsi="Times New Roman" w:cs="Times New Roman"/>
          <w:sz w:val="24"/>
          <w:szCs w:val="24"/>
          <w:lang w:val="en-US"/>
        </w:rPr>
        <w:t xml:space="preserve">in managing </w:t>
      </w:r>
      <w:r w:rsidR="00F34160" w:rsidRPr="00CB216A">
        <w:rPr>
          <w:rFonts w:ascii="Times New Roman" w:hAnsi="Times New Roman" w:cs="Times New Roman"/>
          <w:sz w:val="24"/>
          <w:szCs w:val="24"/>
          <w:lang w:val="en-US"/>
        </w:rPr>
        <w:t xml:space="preserve">their </w:t>
      </w:r>
      <w:r w:rsidRPr="00CB216A">
        <w:rPr>
          <w:rFonts w:ascii="Times New Roman" w:hAnsi="Times New Roman" w:cs="Times New Roman"/>
          <w:sz w:val="24"/>
          <w:szCs w:val="24"/>
          <w:lang w:val="en-US"/>
        </w:rPr>
        <w:t>debt</w:t>
      </w:r>
      <w:r w:rsidR="00F34160" w:rsidRPr="00CB216A">
        <w:rPr>
          <w:rFonts w:ascii="Times New Roman" w:hAnsi="Times New Roman" w:cs="Times New Roman"/>
          <w:sz w:val="24"/>
          <w:szCs w:val="24"/>
          <w:lang w:val="en-US"/>
        </w:rPr>
        <w:t>s</w:t>
      </w:r>
      <w:r w:rsidRPr="00CB216A">
        <w:rPr>
          <w:rFonts w:ascii="Times New Roman" w:hAnsi="Times New Roman" w:cs="Times New Roman"/>
          <w:sz w:val="24"/>
          <w:szCs w:val="24"/>
          <w:lang w:val="en-US"/>
        </w:rPr>
        <w:t xml:space="preserve"> so that investors d</w:t>
      </w:r>
      <w:r w:rsidR="00F34160" w:rsidRPr="00CB216A">
        <w:rPr>
          <w:rFonts w:ascii="Times New Roman" w:hAnsi="Times New Roman" w:cs="Times New Roman"/>
          <w:sz w:val="24"/>
          <w:szCs w:val="24"/>
          <w:lang w:val="en-US"/>
        </w:rPr>
        <w:t xml:space="preserve">id </w:t>
      </w:r>
      <w:r w:rsidRPr="00CB216A">
        <w:rPr>
          <w:rFonts w:ascii="Times New Roman" w:hAnsi="Times New Roman" w:cs="Times New Roman"/>
          <w:sz w:val="24"/>
          <w:szCs w:val="24"/>
          <w:lang w:val="en-US"/>
        </w:rPr>
        <w:t xml:space="preserve">not pay attention to the solvency </w:t>
      </w:r>
      <w:r w:rsidR="00F34160" w:rsidRPr="00CB216A">
        <w:rPr>
          <w:rFonts w:ascii="Times New Roman" w:hAnsi="Times New Roman" w:cs="Times New Roman"/>
          <w:sz w:val="24"/>
          <w:szCs w:val="24"/>
          <w:lang w:val="en-US"/>
        </w:rPr>
        <w:t xml:space="preserve">of the firms when making the </w:t>
      </w:r>
      <w:r w:rsidRPr="00CB216A">
        <w:rPr>
          <w:rFonts w:ascii="Times New Roman" w:hAnsi="Times New Roman" w:cs="Times New Roman"/>
          <w:sz w:val="24"/>
          <w:szCs w:val="24"/>
          <w:lang w:val="en-US"/>
        </w:rPr>
        <w:t xml:space="preserve">decision in </w:t>
      </w:r>
      <w:r w:rsidR="00F34160" w:rsidRPr="00CB216A">
        <w:rPr>
          <w:rFonts w:ascii="Times New Roman" w:hAnsi="Times New Roman" w:cs="Times New Roman"/>
          <w:sz w:val="24"/>
          <w:szCs w:val="24"/>
          <w:lang w:val="en-US"/>
        </w:rPr>
        <w:t xml:space="preserve">Islamic </w:t>
      </w:r>
      <w:r w:rsidRPr="00CB216A">
        <w:rPr>
          <w:rFonts w:ascii="Times New Roman" w:hAnsi="Times New Roman" w:cs="Times New Roman"/>
          <w:sz w:val="24"/>
          <w:szCs w:val="24"/>
          <w:lang w:val="en-US"/>
        </w:rPr>
        <w:t>s</w:t>
      </w:r>
      <w:r w:rsidR="00F34160" w:rsidRPr="00CB216A">
        <w:rPr>
          <w:rFonts w:ascii="Times New Roman" w:hAnsi="Times New Roman" w:cs="Times New Roman"/>
          <w:sz w:val="24"/>
          <w:szCs w:val="24"/>
          <w:lang w:val="en-US"/>
        </w:rPr>
        <w:t>tocks</w:t>
      </w:r>
      <w:r w:rsidRPr="00CB216A">
        <w:rPr>
          <w:rFonts w:ascii="Times New Roman" w:hAnsi="Times New Roman" w:cs="Times New Roman"/>
          <w:sz w:val="24"/>
          <w:szCs w:val="24"/>
          <w:lang w:val="en-US"/>
        </w:rPr>
        <w:t xml:space="preserve">. </w:t>
      </w:r>
      <w:r w:rsidR="00F34160" w:rsidRPr="00CB216A">
        <w:rPr>
          <w:rFonts w:ascii="Times New Roman" w:hAnsi="Times New Roman" w:cs="Times New Roman"/>
          <w:sz w:val="24"/>
          <w:szCs w:val="24"/>
          <w:lang w:val="en-US"/>
        </w:rPr>
        <w:t xml:space="preserve">This explains the insignificant effect of </w:t>
      </w:r>
      <w:r w:rsidRPr="00CB216A">
        <w:rPr>
          <w:rFonts w:ascii="Times New Roman" w:hAnsi="Times New Roman" w:cs="Times New Roman"/>
          <w:sz w:val="24"/>
          <w:szCs w:val="24"/>
          <w:lang w:val="en-US"/>
        </w:rPr>
        <w:t xml:space="preserve">the </w:t>
      </w:r>
      <w:r w:rsidR="00F34160" w:rsidRPr="00CB216A">
        <w:rPr>
          <w:rFonts w:ascii="Times New Roman" w:hAnsi="Times New Roman" w:cs="Times New Roman"/>
          <w:sz w:val="24"/>
          <w:szCs w:val="24"/>
          <w:lang w:val="en-US"/>
        </w:rPr>
        <w:t xml:space="preserve">firms’ </w:t>
      </w:r>
      <w:r w:rsidRPr="00CB216A">
        <w:rPr>
          <w:rFonts w:ascii="Times New Roman" w:hAnsi="Times New Roman" w:cs="Times New Roman"/>
          <w:sz w:val="24"/>
          <w:szCs w:val="24"/>
          <w:lang w:val="en-US"/>
        </w:rPr>
        <w:t xml:space="preserve">solvency </w:t>
      </w:r>
      <w:r w:rsidR="00F34160" w:rsidRPr="00CB216A">
        <w:rPr>
          <w:rFonts w:ascii="Times New Roman" w:hAnsi="Times New Roman" w:cs="Times New Roman"/>
          <w:sz w:val="24"/>
          <w:szCs w:val="24"/>
          <w:lang w:val="en-US"/>
        </w:rPr>
        <w:t xml:space="preserve">on </w:t>
      </w:r>
      <w:r w:rsidRPr="00CB216A">
        <w:rPr>
          <w:rFonts w:ascii="Times New Roman" w:hAnsi="Times New Roman" w:cs="Times New Roman"/>
          <w:sz w:val="24"/>
          <w:szCs w:val="24"/>
          <w:lang w:val="en-US"/>
        </w:rPr>
        <w:t>the returns expected by investors</w:t>
      </w:r>
      <w:r w:rsidR="00F34160" w:rsidRPr="00CB216A">
        <w:rPr>
          <w:rFonts w:ascii="Times New Roman" w:hAnsi="Times New Roman" w:cs="Times New Roman"/>
          <w:sz w:val="24"/>
          <w:szCs w:val="24"/>
          <w:lang w:val="en-US"/>
        </w:rPr>
        <w:t xml:space="preserve"> into the Islamic stocks</w:t>
      </w:r>
      <w:r w:rsidRPr="00CB216A">
        <w:rPr>
          <w:rFonts w:ascii="Times New Roman" w:hAnsi="Times New Roman" w:cs="Times New Roman"/>
          <w:sz w:val="24"/>
          <w:szCs w:val="24"/>
          <w:lang w:val="en-US"/>
        </w:rPr>
        <w:t>.</w:t>
      </w:r>
    </w:p>
    <w:p w:rsidR="00707E41" w:rsidRPr="00CB216A" w:rsidRDefault="0046403F" w:rsidP="00887E9E">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The</w:t>
      </w:r>
      <w:r w:rsidR="00F34160" w:rsidRPr="00CB216A">
        <w:rPr>
          <w:rFonts w:ascii="Times New Roman" w:hAnsi="Times New Roman" w:cs="Times New Roman"/>
          <w:sz w:val="24"/>
          <w:szCs w:val="24"/>
          <w:lang w:val="en-US"/>
        </w:rPr>
        <w:t xml:space="preserve"> finding of an insignificant effect of </w:t>
      </w:r>
      <w:r w:rsidR="009C4504" w:rsidRPr="00CB216A">
        <w:rPr>
          <w:rFonts w:ascii="Times New Roman" w:hAnsi="Times New Roman" w:cs="Times New Roman"/>
          <w:sz w:val="24"/>
          <w:szCs w:val="24"/>
          <w:lang w:val="en-US"/>
        </w:rPr>
        <w:t>solvency</w:t>
      </w:r>
      <w:r w:rsidR="00F34160" w:rsidRPr="00CB216A">
        <w:rPr>
          <w:rFonts w:ascii="Times New Roman" w:hAnsi="Times New Roman" w:cs="Times New Roman"/>
          <w:sz w:val="24"/>
          <w:szCs w:val="24"/>
          <w:lang w:val="en-US"/>
        </w:rPr>
        <w:t xml:space="preserve"> on the Islamic stock returns is </w:t>
      </w:r>
      <w:r w:rsidRPr="00CB216A">
        <w:rPr>
          <w:rFonts w:ascii="Times New Roman" w:hAnsi="Times New Roman" w:cs="Times New Roman"/>
          <w:sz w:val="24"/>
          <w:szCs w:val="24"/>
          <w:lang w:val="en-US"/>
        </w:rPr>
        <w:t xml:space="preserve">in line with </w:t>
      </w:r>
      <w:r w:rsidR="00F34160" w:rsidRPr="00CB216A">
        <w:rPr>
          <w:rFonts w:ascii="Times New Roman" w:hAnsi="Times New Roman" w:cs="Times New Roman"/>
          <w:sz w:val="24"/>
          <w:szCs w:val="24"/>
          <w:lang w:val="en-US"/>
        </w:rPr>
        <w:t xml:space="preserve">previous studies by </w:t>
      </w:r>
      <w:r w:rsidRPr="00CB216A">
        <w:rPr>
          <w:rFonts w:ascii="Times New Roman" w:hAnsi="Times New Roman" w:cs="Times New Roman"/>
          <w:sz w:val="24"/>
          <w:szCs w:val="24"/>
          <w:lang w:val="en-US"/>
        </w:rPr>
        <w:t>Erari (2014), Rufaida and Hermanto (2015), Bisara and Amanah (2015), and Hawu and Amanah (2016)</w:t>
      </w:r>
      <w:r w:rsidR="00F34160" w:rsidRPr="00CB216A">
        <w:rPr>
          <w:rFonts w:ascii="Times New Roman" w:hAnsi="Times New Roman" w:cs="Times New Roman"/>
          <w:sz w:val="24"/>
          <w:szCs w:val="24"/>
          <w:lang w:val="en-US"/>
        </w:rPr>
        <w:t xml:space="preserve">. </w:t>
      </w:r>
      <w:r w:rsidRPr="00CB216A">
        <w:rPr>
          <w:rFonts w:ascii="Times New Roman" w:hAnsi="Times New Roman" w:cs="Times New Roman"/>
          <w:sz w:val="24"/>
          <w:szCs w:val="24"/>
          <w:lang w:val="en-US"/>
        </w:rPr>
        <w:t>However, the resu</w:t>
      </w:r>
      <w:r w:rsidRPr="00CB216A">
        <w:rPr>
          <w:rFonts w:ascii="Times New Roman" w:hAnsi="Times New Roman" w:cs="Times New Roman"/>
          <w:sz w:val="24"/>
          <w:szCs w:val="24"/>
          <w:lang w:val="en-US"/>
        </w:rPr>
        <w:t xml:space="preserve">lt of </w:t>
      </w:r>
      <w:r w:rsidR="00F34160" w:rsidRPr="00CB216A">
        <w:rPr>
          <w:rFonts w:ascii="Times New Roman" w:hAnsi="Times New Roman" w:cs="Times New Roman"/>
          <w:sz w:val="24"/>
          <w:szCs w:val="24"/>
          <w:lang w:val="en-US"/>
        </w:rPr>
        <w:t xml:space="preserve">our </w:t>
      </w:r>
      <w:r w:rsidRPr="00CB216A">
        <w:rPr>
          <w:rFonts w:ascii="Times New Roman" w:hAnsi="Times New Roman" w:cs="Times New Roman"/>
          <w:sz w:val="24"/>
          <w:szCs w:val="24"/>
          <w:lang w:val="en-US"/>
        </w:rPr>
        <w:t>study con</w:t>
      </w:r>
      <w:r w:rsidR="00F34160" w:rsidRPr="00CB216A">
        <w:rPr>
          <w:rFonts w:ascii="Times New Roman" w:hAnsi="Times New Roman" w:cs="Times New Roman"/>
          <w:sz w:val="24"/>
          <w:szCs w:val="24"/>
          <w:lang w:val="en-US"/>
        </w:rPr>
        <w:t xml:space="preserve">tradicts the empirical evidences documented by </w:t>
      </w:r>
      <w:r w:rsidRPr="00CB216A">
        <w:rPr>
          <w:rFonts w:ascii="Times New Roman" w:hAnsi="Times New Roman" w:cs="Times New Roman"/>
          <w:sz w:val="24"/>
          <w:szCs w:val="24"/>
          <w:lang w:val="en-US"/>
        </w:rPr>
        <w:t xml:space="preserve">Widayanti and Haryanto (2013), Putra and Dana (2016), and Fitriana et al. (2016) </w:t>
      </w:r>
      <w:r w:rsidR="00F34160" w:rsidRPr="00CB216A">
        <w:rPr>
          <w:rFonts w:ascii="Times New Roman" w:hAnsi="Times New Roman" w:cs="Times New Roman"/>
          <w:sz w:val="24"/>
          <w:szCs w:val="24"/>
          <w:lang w:val="en-US"/>
        </w:rPr>
        <w:t xml:space="preserve">that recorded a significant effect of </w:t>
      </w:r>
      <w:r w:rsidRPr="00CB216A">
        <w:rPr>
          <w:rFonts w:ascii="Times New Roman" w:hAnsi="Times New Roman" w:cs="Times New Roman"/>
          <w:sz w:val="24"/>
          <w:szCs w:val="24"/>
          <w:lang w:val="en-US"/>
        </w:rPr>
        <w:t xml:space="preserve">firms’ solvency on stock returns. </w:t>
      </w:r>
    </w:p>
    <w:p w:rsidR="00294E9C" w:rsidRPr="00CB216A" w:rsidRDefault="0046403F" w:rsidP="00887E9E">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Finally, the study also found an ins</w:t>
      </w:r>
      <w:r w:rsidRPr="00CB216A">
        <w:rPr>
          <w:rFonts w:ascii="Times New Roman" w:hAnsi="Times New Roman" w:cs="Times New Roman"/>
          <w:sz w:val="24"/>
          <w:szCs w:val="24"/>
          <w:lang w:val="en-US"/>
        </w:rPr>
        <w:t>ignif</w:t>
      </w:r>
      <w:r w:rsidR="00CB216A">
        <w:rPr>
          <w:rFonts w:ascii="Times New Roman" w:hAnsi="Times New Roman" w:cs="Times New Roman"/>
          <w:sz w:val="24"/>
          <w:szCs w:val="24"/>
          <w:lang w:val="en-US"/>
        </w:rPr>
        <w:t>ic</w:t>
      </w:r>
      <w:r w:rsidRPr="00CB216A">
        <w:rPr>
          <w:rFonts w:ascii="Times New Roman" w:hAnsi="Times New Roman" w:cs="Times New Roman"/>
          <w:sz w:val="24"/>
          <w:szCs w:val="24"/>
          <w:lang w:val="en-US"/>
        </w:rPr>
        <w:t>a</w:t>
      </w:r>
      <w:r w:rsidR="00CB216A">
        <w:rPr>
          <w:rFonts w:ascii="Times New Roman" w:hAnsi="Times New Roman" w:cs="Times New Roman"/>
          <w:sz w:val="24"/>
          <w:szCs w:val="24"/>
          <w:lang w:val="en-US"/>
        </w:rPr>
        <w:t>n</w:t>
      </w:r>
      <w:r w:rsidRPr="00CB216A">
        <w:rPr>
          <w:rFonts w:ascii="Times New Roman" w:hAnsi="Times New Roman" w:cs="Times New Roman"/>
          <w:sz w:val="24"/>
          <w:szCs w:val="24"/>
          <w:lang w:val="en-US"/>
        </w:rPr>
        <w:t xml:space="preserve">t effect of firm size on Islamic stock returns. This implies that the size of the company did not necessarily </w:t>
      </w:r>
      <w:r w:rsidRPr="00CB216A">
        <w:rPr>
          <w:rFonts w:ascii="Times New Roman" w:hAnsi="Times New Roman" w:cs="Times New Roman"/>
          <w:sz w:val="24"/>
          <w:szCs w:val="24"/>
          <w:lang w:val="en-US"/>
        </w:rPr>
        <w:lastRenderedPageBreak/>
        <w:t>reflect the company's good performance. This could be partially due to the total fixed assets of the firms were greater than their curren</w:t>
      </w:r>
      <w:r w:rsidRPr="00CB216A">
        <w:rPr>
          <w:rFonts w:ascii="Times New Roman" w:hAnsi="Times New Roman" w:cs="Times New Roman"/>
          <w:sz w:val="24"/>
          <w:szCs w:val="24"/>
          <w:lang w:val="en-US"/>
        </w:rPr>
        <w:t>t assets and other possibilities were also related to the company's decision regarding the profits of investors, large companies provided smaller dividend payments, thus investors did not select the firms with the larger size to buy their Islamic stocks. I</w:t>
      </w:r>
      <w:r w:rsidRPr="00CB216A">
        <w:rPr>
          <w:rFonts w:ascii="Times New Roman" w:hAnsi="Times New Roman" w:cs="Times New Roman"/>
          <w:sz w:val="24"/>
          <w:szCs w:val="24"/>
          <w:lang w:val="en-US"/>
        </w:rPr>
        <w:t>n other words, investing in larger firms' stocks did not provide a guarantee for investors to gain higher returns. This finding is in harmony with the empirical evidences of previous studies by Rosiana et al. (2014), and Raningsih and Putra (2015) that sho</w:t>
      </w:r>
      <w:r w:rsidRPr="00CB216A">
        <w:rPr>
          <w:rFonts w:ascii="Times New Roman" w:hAnsi="Times New Roman" w:cs="Times New Roman"/>
          <w:sz w:val="24"/>
          <w:szCs w:val="24"/>
          <w:lang w:val="en-US"/>
        </w:rPr>
        <w:t>wed that company size had no significant effect on stock returns. However, our finding contradicts the results of previous studies by Sugiarto (2011), Yuliantari and Sujana (2014), and Putra and Dana (2016) which documented the significant influence of fir</w:t>
      </w:r>
      <w:r w:rsidRPr="00CB216A">
        <w:rPr>
          <w:rFonts w:ascii="Times New Roman" w:hAnsi="Times New Roman" w:cs="Times New Roman"/>
          <w:sz w:val="24"/>
          <w:szCs w:val="24"/>
          <w:lang w:val="en-US"/>
        </w:rPr>
        <w:t>m size on stock returns.</w:t>
      </w:r>
    </w:p>
    <w:p w:rsidR="009C4504" w:rsidRPr="00CB216A" w:rsidRDefault="0046403F" w:rsidP="009C4504">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As observed from Table 4, the study found that the overall determinants of profitability, liquidity, solvency, and firm size significantly affected Islamic stock returns, as indicated by the significance of F-statistics at the 1% level. This explains that </w:t>
      </w:r>
      <w:r w:rsidRPr="00CB216A">
        <w:rPr>
          <w:rFonts w:ascii="Times New Roman" w:hAnsi="Times New Roman" w:cs="Times New Roman"/>
          <w:sz w:val="24"/>
          <w:szCs w:val="24"/>
          <w:lang w:val="en-US"/>
        </w:rPr>
        <w:t>variations in Islamic stock returns were explained by 33.5% of changes in variables of profitability, liquidity, solvency, and company size, while the rest 66.5% changes in Islamic stock returns were explained by other determinants, both firm's characteris</w:t>
      </w:r>
      <w:r w:rsidRPr="00CB216A">
        <w:rPr>
          <w:rFonts w:ascii="Times New Roman" w:hAnsi="Times New Roman" w:cs="Times New Roman"/>
          <w:sz w:val="24"/>
          <w:szCs w:val="24"/>
          <w:lang w:val="en-US"/>
        </w:rPr>
        <w:t xml:space="preserve">tics and macroeconomic variables. This further implies that in </w:t>
      </w:r>
      <w:r w:rsidR="00CB216A" w:rsidRPr="00CB216A">
        <w:rPr>
          <w:rFonts w:ascii="Times New Roman" w:hAnsi="Times New Roman" w:cs="Times New Roman"/>
          <w:sz w:val="24"/>
          <w:szCs w:val="24"/>
          <w:lang w:val="en-US"/>
        </w:rPr>
        <w:t>predicting</w:t>
      </w:r>
      <w:r w:rsidRPr="00CB216A">
        <w:rPr>
          <w:rFonts w:ascii="Times New Roman" w:hAnsi="Times New Roman" w:cs="Times New Roman"/>
          <w:sz w:val="24"/>
          <w:szCs w:val="24"/>
          <w:lang w:val="en-US"/>
        </w:rPr>
        <w:t xml:space="preserve"> the changes in Islamic stock returns, these variables should be taken into consideration. Additionally, this shows that the estimated Generalized Least Square model in our study is free from misspecification and a good fit to predict Islamic stock returns</w:t>
      </w:r>
      <w:r w:rsidRPr="00CB216A">
        <w:rPr>
          <w:rFonts w:ascii="Times New Roman" w:hAnsi="Times New Roman" w:cs="Times New Roman"/>
          <w:sz w:val="24"/>
          <w:szCs w:val="24"/>
          <w:lang w:val="en-US"/>
        </w:rPr>
        <w:t xml:space="preserve"> using profitability, liquidity, solvency, and company size as their independent variables. </w:t>
      </w:r>
    </w:p>
    <w:p w:rsidR="009C4504" w:rsidRPr="00CB216A" w:rsidRDefault="0046403F" w:rsidP="009C4504">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Additionally, our estimated Generalized Least Square model </w:t>
      </w:r>
      <w:r w:rsidR="00CB216A" w:rsidRPr="00CB216A">
        <w:rPr>
          <w:rFonts w:ascii="Times New Roman" w:hAnsi="Times New Roman" w:cs="Times New Roman"/>
          <w:sz w:val="24"/>
          <w:szCs w:val="24"/>
          <w:lang w:val="en-US"/>
        </w:rPr>
        <w:t>also</w:t>
      </w:r>
      <w:r w:rsidRPr="00CB216A">
        <w:rPr>
          <w:rFonts w:ascii="Times New Roman" w:hAnsi="Times New Roman" w:cs="Times New Roman"/>
          <w:sz w:val="24"/>
          <w:szCs w:val="24"/>
          <w:lang w:val="en-US"/>
        </w:rPr>
        <w:t xml:space="preserve"> fulfilled the classical assumption </w:t>
      </w:r>
      <w:r w:rsidR="006008B9" w:rsidRPr="00CB216A">
        <w:rPr>
          <w:rFonts w:ascii="Times New Roman" w:hAnsi="Times New Roman" w:cs="Times New Roman"/>
          <w:sz w:val="24"/>
          <w:szCs w:val="24"/>
          <w:lang w:val="en-US"/>
        </w:rPr>
        <w:t>requirements</w:t>
      </w:r>
      <w:r w:rsidRPr="00CB216A">
        <w:rPr>
          <w:rFonts w:ascii="Times New Roman" w:hAnsi="Times New Roman" w:cs="Times New Roman"/>
          <w:sz w:val="24"/>
          <w:szCs w:val="24"/>
          <w:lang w:val="en-US"/>
        </w:rPr>
        <w:t xml:space="preserve">. As shown in Table 4, the </w:t>
      </w:r>
      <w:r w:rsidR="00CB216A" w:rsidRPr="00CB216A">
        <w:rPr>
          <w:rFonts w:ascii="Times New Roman" w:hAnsi="Times New Roman" w:cs="Times New Roman"/>
          <w:sz w:val="24"/>
          <w:szCs w:val="24"/>
          <w:lang w:val="en-US"/>
        </w:rPr>
        <w:t>Kolmogoro</w:t>
      </w:r>
      <w:r w:rsidRPr="00CB216A">
        <w:rPr>
          <w:rFonts w:ascii="Times New Roman" w:hAnsi="Times New Roman" w:cs="Times New Roman"/>
          <w:sz w:val="24"/>
          <w:szCs w:val="24"/>
          <w:lang w:val="en-US"/>
        </w:rPr>
        <w:t>v-Smirnov (KS) w</w:t>
      </w:r>
      <w:r w:rsidRPr="00CB216A">
        <w:rPr>
          <w:rFonts w:ascii="Times New Roman" w:hAnsi="Times New Roman" w:cs="Times New Roman"/>
          <w:sz w:val="24"/>
          <w:szCs w:val="24"/>
          <w:lang w:val="en-US"/>
        </w:rPr>
        <w:t>as found to be insignificant with the p-value of 0.892, signifying the normality of the variable, the Variance Inflation Factor (VIF) with the values of less than 10 (</w:t>
      </w:r>
      <w:r w:rsidR="006008B9" w:rsidRPr="00CB216A">
        <w:rPr>
          <w:rFonts w:ascii="Times New Roman" w:hAnsi="Times New Roman" w:cs="Times New Roman"/>
          <w:sz w:val="24"/>
          <w:szCs w:val="24"/>
          <w:lang w:val="en-US"/>
        </w:rPr>
        <w:t xml:space="preserve">VIF = </w:t>
      </w:r>
      <w:r w:rsidR="006008B9" w:rsidRPr="00CB216A">
        <w:rPr>
          <w:rFonts w:ascii="Times New Roman" w:hAnsi="Times New Roman" w:cs="Times New Roman"/>
          <w:color w:val="000000"/>
          <w:sz w:val="24"/>
          <w:szCs w:val="24"/>
          <w:lang w:val="en-US"/>
        </w:rPr>
        <w:t>1.291 - 1.085)</w:t>
      </w:r>
      <w:r w:rsidRPr="00CB216A">
        <w:rPr>
          <w:rFonts w:ascii="Times New Roman" w:hAnsi="Times New Roman" w:cs="Times New Roman"/>
          <w:sz w:val="24"/>
          <w:szCs w:val="24"/>
          <w:lang w:val="en-US"/>
        </w:rPr>
        <w:t>, showing the independent variables were free from problem of multico</w:t>
      </w:r>
      <w:r w:rsidRPr="00CB216A">
        <w:rPr>
          <w:rFonts w:ascii="Times New Roman" w:hAnsi="Times New Roman" w:cs="Times New Roman"/>
          <w:sz w:val="24"/>
          <w:szCs w:val="24"/>
          <w:lang w:val="en-US"/>
        </w:rPr>
        <w:t>llinearity</w:t>
      </w:r>
      <w:r w:rsidR="006008B9" w:rsidRPr="00CB216A">
        <w:rPr>
          <w:rFonts w:ascii="Times New Roman" w:hAnsi="Times New Roman" w:cs="Times New Roman"/>
          <w:sz w:val="24"/>
          <w:szCs w:val="24"/>
          <w:lang w:val="en-US"/>
        </w:rPr>
        <w:t xml:space="preserve">. The </w:t>
      </w:r>
      <w:r w:rsidRPr="00CB216A">
        <w:rPr>
          <w:rFonts w:ascii="Times New Roman" w:hAnsi="Times New Roman" w:cs="Times New Roman"/>
          <w:sz w:val="24"/>
          <w:szCs w:val="24"/>
          <w:lang w:val="en-US"/>
        </w:rPr>
        <w:t xml:space="preserve">Durbin-Watson </w:t>
      </w:r>
      <w:r w:rsidR="006008B9" w:rsidRPr="00CB216A">
        <w:rPr>
          <w:rFonts w:ascii="Times New Roman" w:hAnsi="Times New Roman" w:cs="Times New Roman"/>
          <w:sz w:val="24"/>
          <w:szCs w:val="24"/>
          <w:lang w:val="en-US"/>
        </w:rPr>
        <w:t xml:space="preserve">(DW) </w:t>
      </w:r>
      <w:r w:rsidRPr="00CB216A">
        <w:rPr>
          <w:rFonts w:ascii="Times New Roman" w:hAnsi="Times New Roman" w:cs="Times New Roman"/>
          <w:sz w:val="24"/>
          <w:szCs w:val="24"/>
          <w:lang w:val="en-US"/>
        </w:rPr>
        <w:t>test for autocorrelation</w:t>
      </w:r>
      <w:r w:rsidR="006008B9" w:rsidRPr="00CB216A">
        <w:rPr>
          <w:rFonts w:ascii="Times New Roman" w:hAnsi="Times New Roman" w:cs="Times New Roman"/>
          <w:sz w:val="24"/>
          <w:szCs w:val="24"/>
          <w:lang w:val="en-US"/>
        </w:rPr>
        <w:t xml:space="preserve"> has a value of 2.117, showing the inexistence of autocorrelation problem</w:t>
      </w:r>
      <w:r w:rsidRPr="00CB216A">
        <w:rPr>
          <w:rFonts w:ascii="Times New Roman" w:hAnsi="Times New Roman" w:cs="Times New Roman"/>
          <w:sz w:val="24"/>
          <w:szCs w:val="24"/>
          <w:lang w:val="en-US"/>
        </w:rPr>
        <w:t xml:space="preserve">, and </w:t>
      </w:r>
      <w:r w:rsidR="006008B9" w:rsidRPr="00CB216A">
        <w:rPr>
          <w:rFonts w:ascii="Times New Roman" w:hAnsi="Times New Roman" w:cs="Times New Roman"/>
          <w:sz w:val="24"/>
          <w:szCs w:val="24"/>
          <w:lang w:val="en-US"/>
        </w:rPr>
        <w:t xml:space="preserve">the </w:t>
      </w:r>
      <w:r w:rsidRPr="00CB216A">
        <w:rPr>
          <w:rFonts w:ascii="Times New Roman" w:hAnsi="Times New Roman" w:cs="Times New Roman"/>
          <w:sz w:val="24"/>
          <w:szCs w:val="24"/>
          <w:lang w:val="en-US"/>
        </w:rPr>
        <w:t>Bruesch-Pagan</w:t>
      </w:r>
      <w:r w:rsidR="006008B9" w:rsidRPr="00CB216A">
        <w:rPr>
          <w:rFonts w:ascii="Times New Roman" w:hAnsi="Times New Roman" w:cs="Times New Roman"/>
          <w:sz w:val="24"/>
          <w:szCs w:val="24"/>
          <w:lang w:val="en-US"/>
        </w:rPr>
        <w:t xml:space="preserve"> (BP)</w:t>
      </w:r>
      <w:r w:rsidRPr="00CB216A">
        <w:rPr>
          <w:rFonts w:ascii="Times New Roman" w:hAnsi="Times New Roman" w:cs="Times New Roman"/>
          <w:sz w:val="24"/>
          <w:szCs w:val="24"/>
          <w:lang w:val="en-US"/>
        </w:rPr>
        <w:t xml:space="preserve"> test for heteros</w:t>
      </w:r>
      <w:r w:rsidR="006008B9" w:rsidRPr="00CB216A">
        <w:rPr>
          <w:rFonts w:ascii="Times New Roman" w:hAnsi="Times New Roman" w:cs="Times New Roman"/>
          <w:sz w:val="24"/>
          <w:szCs w:val="24"/>
          <w:lang w:val="en-US"/>
        </w:rPr>
        <w:t>ce</w:t>
      </w:r>
      <w:r w:rsidRPr="00CB216A">
        <w:rPr>
          <w:rFonts w:ascii="Times New Roman" w:hAnsi="Times New Roman" w:cs="Times New Roman"/>
          <w:sz w:val="24"/>
          <w:szCs w:val="24"/>
          <w:lang w:val="en-US"/>
        </w:rPr>
        <w:t>dasticity</w:t>
      </w:r>
      <w:r w:rsidR="006008B9" w:rsidRPr="00CB216A">
        <w:rPr>
          <w:rFonts w:ascii="Times New Roman" w:hAnsi="Times New Roman" w:cs="Times New Roman"/>
          <w:sz w:val="24"/>
          <w:szCs w:val="24"/>
          <w:lang w:val="en-US"/>
        </w:rPr>
        <w:t xml:space="preserve"> with the value of 0.060, signifying the variable were homos</w:t>
      </w:r>
      <w:r w:rsidR="00CB216A">
        <w:rPr>
          <w:rFonts w:ascii="Times New Roman" w:hAnsi="Times New Roman" w:cs="Times New Roman"/>
          <w:sz w:val="24"/>
          <w:szCs w:val="24"/>
          <w:lang w:val="en-US"/>
        </w:rPr>
        <w:t>ce</w:t>
      </w:r>
      <w:r w:rsidR="006008B9" w:rsidRPr="00CB216A">
        <w:rPr>
          <w:rFonts w:ascii="Times New Roman" w:hAnsi="Times New Roman" w:cs="Times New Roman"/>
          <w:sz w:val="24"/>
          <w:szCs w:val="24"/>
          <w:lang w:val="en-US"/>
        </w:rPr>
        <w:t xml:space="preserve">dastic. These findings further confirmed that our estimated model </w:t>
      </w:r>
      <w:r w:rsidR="006008B9" w:rsidRPr="00CB216A">
        <w:rPr>
          <w:rFonts w:ascii="Times New Roman" w:hAnsi="Times New Roman" w:cs="Times New Roman"/>
          <w:sz w:val="24"/>
          <w:szCs w:val="24"/>
          <w:lang w:val="en-US"/>
        </w:rPr>
        <w:lastRenderedPageBreak/>
        <w:t>was fit enough to measure the effects of profitability, liquidity, solvency, and firm size on the Islamic stock returns in Indonesia over the 2013-2017 period.</w:t>
      </w:r>
    </w:p>
    <w:p w:rsidR="005A0D1E" w:rsidRPr="00CB216A" w:rsidRDefault="0046403F" w:rsidP="0040713C">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The results of this study are expect</w:t>
      </w:r>
      <w:r w:rsidRPr="00CB216A">
        <w:rPr>
          <w:rFonts w:ascii="Times New Roman" w:hAnsi="Times New Roman" w:cs="Times New Roman"/>
          <w:sz w:val="24"/>
          <w:szCs w:val="24"/>
          <w:lang w:val="en-US"/>
        </w:rPr>
        <w:t xml:space="preserve">ed to provide additional empirical evidence and strengthen previous studies and </w:t>
      </w:r>
      <w:r w:rsidR="00707E41" w:rsidRPr="00CB216A">
        <w:rPr>
          <w:rFonts w:ascii="Times New Roman" w:hAnsi="Times New Roman" w:cs="Times New Roman"/>
          <w:sz w:val="24"/>
          <w:szCs w:val="24"/>
          <w:lang w:val="en-US"/>
        </w:rPr>
        <w:t xml:space="preserve">offer an alternative </w:t>
      </w:r>
      <w:r w:rsidRPr="00CB216A">
        <w:rPr>
          <w:rFonts w:ascii="Times New Roman" w:hAnsi="Times New Roman" w:cs="Times New Roman"/>
          <w:sz w:val="24"/>
          <w:szCs w:val="24"/>
          <w:lang w:val="en-US"/>
        </w:rPr>
        <w:t>reference for investors in making investment decisions</w:t>
      </w:r>
      <w:r w:rsidR="00707E41" w:rsidRPr="00CB216A">
        <w:rPr>
          <w:rFonts w:ascii="Times New Roman" w:hAnsi="Times New Roman" w:cs="Times New Roman"/>
          <w:sz w:val="24"/>
          <w:szCs w:val="24"/>
          <w:lang w:val="en-US"/>
        </w:rPr>
        <w:t xml:space="preserve"> in Islamic stocks</w:t>
      </w:r>
      <w:r w:rsidRPr="00CB216A">
        <w:rPr>
          <w:rFonts w:ascii="Times New Roman" w:hAnsi="Times New Roman" w:cs="Times New Roman"/>
          <w:sz w:val="24"/>
          <w:szCs w:val="24"/>
          <w:lang w:val="en-US"/>
        </w:rPr>
        <w:t xml:space="preserve">, especially Muslim investors. The study only focused on companies listed on </w:t>
      </w:r>
      <w:r w:rsidR="00707E41" w:rsidRPr="00CB216A">
        <w:rPr>
          <w:rFonts w:ascii="Times New Roman" w:hAnsi="Times New Roman" w:cs="Times New Roman"/>
          <w:sz w:val="24"/>
          <w:szCs w:val="24"/>
          <w:lang w:val="en-US"/>
        </w:rPr>
        <w:t xml:space="preserve">the </w:t>
      </w:r>
      <w:r w:rsidRPr="00CB216A">
        <w:rPr>
          <w:rFonts w:ascii="Times New Roman" w:hAnsi="Times New Roman" w:cs="Times New Roman"/>
          <w:sz w:val="24"/>
          <w:szCs w:val="24"/>
          <w:lang w:val="en-US"/>
        </w:rPr>
        <w:t>JI</w:t>
      </w:r>
      <w:r w:rsidRPr="00CB216A">
        <w:rPr>
          <w:rFonts w:ascii="Times New Roman" w:hAnsi="Times New Roman" w:cs="Times New Roman"/>
          <w:sz w:val="24"/>
          <w:szCs w:val="24"/>
          <w:lang w:val="en-US"/>
        </w:rPr>
        <w:t>I. Therefore</w:t>
      </w:r>
      <w:r w:rsidR="00707E41" w:rsidRPr="00CB216A">
        <w:rPr>
          <w:rFonts w:ascii="Times New Roman" w:hAnsi="Times New Roman" w:cs="Times New Roman"/>
          <w:sz w:val="24"/>
          <w:szCs w:val="24"/>
          <w:lang w:val="en-US"/>
        </w:rPr>
        <w:t>,</w:t>
      </w:r>
      <w:r w:rsidRPr="00CB216A">
        <w:rPr>
          <w:rFonts w:ascii="Times New Roman" w:hAnsi="Times New Roman" w:cs="Times New Roman"/>
          <w:sz w:val="24"/>
          <w:szCs w:val="24"/>
          <w:lang w:val="en-US"/>
        </w:rPr>
        <w:t xml:space="preserve"> the results of this study cannot be used generalized to other companies that have dissimilar characteristics.</w:t>
      </w:r>
    </w:p>
    <w:p w:rsidR="005A0D1E" w:rsidRPr="00CB216A" w:rsidRDefault="0046403F" w:rsidP="0040713C">
      <w:pPr>
        <w:shd w:val="clear" w:color="auto" w:fill="FFFFFF" w:themeFill="background1"/>
        <w:spacing w:before="100" w:beforeAutospacing="1" w:after="100" w:afterAutospacing="1"/>
        <w:jc w:val="both"/>
        <w:rPr>
          <w:rFonts w:ascii="Times New Roman" w:hAnsi="Times New Roman" w:cs="Times New Roman"/>
          <w:b/>
          <w:sz w:val="24"/>
          <w:szCs w:val="24"/>
          <w:lang w:val="en-US"/>
        </w:rPr>
      </w:pPr>
      <w:r w:rsidRPr="00CB216A">
        <w:rPr>
          <w:rFonts w:ascii="Times New Roman" w:hAnsi="Times New Roman" w:cs="Times New Roman"/>
          <w:b/>
          <w:sz w:val="24"/>
          <w:szCs w:val="24"/>
          <w:lang w:val="en-US"/>
        </w:rPr>
        <w:t>CONCLUSION</w:t>
      </w:r>
    </w:p>
    <w:p w:rsidR="005A0D1E" w:rsidRPr="00CB216A" w:rsidRDefault="0046403F" w:rsidP="005A0D1E">
      <w:pPr>
        <w:shd w:val="clear" w:color="auto" w:fill="FFFFFF" w:themeFill="background1"/>
        <w:spacing w:before="100" w:beforeAutospacing="1" w:after="100" w:afterAutospacing="1"/>
        <w:jc w:val="both"/>
        <w:rPr>
          <w:rFonts w:ascii="Times New Roman" w:hAnsi="Times New Roman" w:cs="Times New Roman"/>
          <w:bCs/>
          <w:sz w:val="24"/>
          <w:szCs w:val="24"/>
          <w:lang w:val="en-US"/>
        </w:rPr>
      </w:pPr>
      <w:r w:rsidRPr="00CB216A">
        <w:rPr>
          <w:rFonts w:ascii="Times New Roman" w:hAnsi="Times New Roman" w:cs="Times New Roman"/>
          <w:bCs/>
          <w:sz w:val="24"/>
          <w:szCs w:val="24"/>
          <w:lang w:val="en-US"/>
        </w:rPr>
        <w:t xml:space="preserve">This study empirically explored and analyzed the effects of profitability, liquidity, </w:t>
      </w:r>
      <w:r w:rsidR="009C4504" w:rsidRPr="00CB216A">
        <w:rPr>
          <w:rFonts w:ascii="Times New Roman" w:hAnsi="Times New Roman" w:cs="Times New Roman"/>
          <w:bCs/>
          <w:sz w:val="24"/>
          <w:szCs w:val="24"/>
          <w:lang w:val="en-US"/>
        </w:rPr>
        <w:t>solvency</w:t>
      </w:r>
      <w:r w:rsidRPr="00CB216A">
        <w:rPr>
          <w:rFonts w:ascii="Times New Roman" w:hAnsi="Times New Roman" w:cs="Times New Roman"/>
          <w:bCs/>
          <w:sz w:val="24"/>
          <w:szCs w:val="24"/>
          <w:lang w:val="en-US"/>
        </w:rPr>
        <w:t xml:space="preserve">, and firm size on the rate of returns of Islamic stocks in Indonesia. A total of 30 companies registered in the Jakarta Islamic Index have been selected as samples of the study using purposive sampling techniques during the 2013-2017 period and estimated </w:t>
      </w:r>
      <w:r w:rsidRPr="00CB216A">
        <w:rPr>
          <w:rFonts w:ascii="Times New Roman" w:hAnsi="Times New Roman" w:cs="Times New Roman"/>
          <w:bCs/>
          <w:sz w:val="24"/>
          <w:szCs w:val="24"/>
          <w:lang w:val="en-US"/>
        </w:rPr>
        <w:t xml:space="preserve">using the panel model of Generalized Least Square (GLS). The study found evidence of a positive and significant effect of profitability on the </w:t>
      </w:r>
      <w:r w:rsidR="00CB216A" w:rsidRPr="00CB216A">
        <w:rPr>
          <w:rFonts w:ascii="Times New Roman" w:hAnsi="Times New Roman" w:cs="Times New Roman"/>
          <w:bCs/>
          <w:sz w:val="24"/>
          <w:szCs w:val="24"/>
          <w:lang w:val="en-US"/>
        </w:rPr>
        <w:t>Islamic</w:t>
      </w:r>
      <w:r w:rsidRPr="00CB216A">
        <w:rPr>
          <w:rFonts w:ascii="Times New Roman" w:hAnsi="Times New Roman" w:cs="Times New Roman"/>
          <w:bCs/>
          <w:sz w:val="24"/>
          <w:szCs w:val="24"/>
          <w:lang w:val="en-US"/>
        </w:rPr>
        <w:t xml:space="preserve"> stock returns, while liquidity, solvency, and company size were documented to have an insignificant effec</w:t>
      </w:r>
      <w:r w:rsidRPr="00CB216A">
        <w:rPr>
          <w:rFonts w:ascii="Times New Roman" w:hAnsi="Times New Roman" w:cs="Times New Roman"/>
          <w:bCs/>
          <w:sz w:val="24"/>
          <w:szCs w:val="24"/>
          <w:lang w:val="en-US"/>
        </w:rPr>
        <w:t xml:space="preserve">t in affecting the Islamic stock returns. The results of this study imply that to gain a maximum rate of returns, investors should pay attention to the profitability gained by the companies listed on the Islamic stock market. </w:t>
      </w:r>
    </w:p>
    <w:p w:rsidR="000F1570" w:rsidRPr="00CB216A" w:rsidRDefault="0046403F" w:rsidP="0040713C">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To provide higher returns for</w:t>
      </w:r>
      <w:r w:rsidRPr="00CB216A">
        <w:rPr>
          <w:rFonts w:ascii="Times New Roman" w:hAnsi="Times New Roman" w:cs="Times New Roman"/>
          <w:sz w:val="24"/>
          <w:szCs w:val="24"/>
          <w:lang w:val="en-US"/>
        </w:rPr>
        <w:t xml:space="preserve"> their investors, </w:t>
      </w:r>
      <w:r w:rsidR="00294E9C" w:rsidRPr="00CB216A">
        <w:rPr>
          <w:rFonts w:ascii="Times New Roman" w:hAnsi="Times New Roman" w:cs="Times New Roman"/>
          <w:sz w:val="24"/>
          <w:szCs w:val="24"/>
          <w:lang w:val="en-US"/>
        </w:rPr>
        <w:t>the JII compan</w:t>
      </w:r>
      <w:r w:rsidRPr="00CB216A">
        <w:rPr>
          <w:rFonts w:ascii="Times New Roman" w:hAnsi="Times New Roman" w:cs="Times New Roman"/>
          <w:sz w:val="24"/>
          <w:szCs w:val="24"/>
          <w:lang w:val="en-US"/>
        </w:rPr>
        <w:t xml:space="preserve">ies </w:t>
      </w:r>
      <w:r w:rsidR="00294E9C" w:rsidRPr="00CB216A">
        <w:rPr>
          <w:rFonts w:ascii="Times New Roman" w:hAnsi="Times New Roman" w:cs="Times New Roman"/>
          <w:sz w:val="24"/>
          <w:szCs w:val="24"/>
          <w:lang w:val="en-US"/>
        </w:rPr>
        <w:t xml:space="preserve">should improve their performance, especially in generating corporate profits so that investors are interested in buying </w:t>
      </w:r>
      <w:r w:rsidRPr="00CB216A">
        <w:rPr>
          <w:rFonts w:ascii="Times New Roman" w:hAnsi="Times New Roman" w:cs="Times New Roman"/>
          <w:sz w:val="24"/>
          <w:szCs w:val="24"/>
          <w:lang w:val="en-US"/>
        </w:rPr>
        <w:t>their stocks</w:t>
      </w:r>
      <w:r w:rsidR="00294E9C" w:rsidRPr="00CB216A">
        <w:rPr>
          <w:rFonts w:ascii="Times New Roman" w:hAnsi="Times New Roman" w:cs="Times New Roman"/>
          <w:sz w:val="24"/>
          <w:szCs w:val="24"/>
          <w:lang w:val="en-US"/>
        </w:rPr>
        <w:t xml:space="preserve">. With so much interest from investors buying JII </w:t>
      </w:r>
      <w:r w:rsidR="00CB216A" w:rsidRPr="00CB216A">
        <w:rPr>
          <w:rFonts w:ascii="Times New Roman" w:hAnsi="Times New Roman" w:cs="Times New Roman"/>
          <w:sz w:val="24"/>
          <w:szCs w:val="24"/>
          <w:lang w:val="en-US"/>
        </w:rPr>
        <w:t>stocks</w:t>
      </w:r>
      <w:r w:rsidR="00294E9C" w:rsidRPr="00CB216A">
        <w:rPr>
          <w:rFonts w:ascii="Times New Roman" w:hAnsi="Times New Roman" w:cs="Times New Roman"/>
          <w:sz w:val="24"/>
          <w:szCs w:val="24"/>
          <w:lang w:val="en-US"/>
        </w:rPr>
        <w:t>, the prestige of Islamic stocks has also increased. Companies listed in the J</w:t>
      </w:r>
      <w:r w:rsidRPr="00CB216A">
        <w:rPr>
          <w:rFonts w:ascii="Times New Roman" w:hAnsi="Times New Roman" w:cs="Times New Roman"/>
          <w:sz w:val="24"/>
          <w:szCs w:val="24"/>
          <w:lang w:val="en-US"/>
        </w:rPr>
        <w:t xml:space="preserve">II become the attractive destination for investors since they provide higher returns, in addition to their </w:t>
      </w:r>
      <w:r w:rsidR="00CB216A" w:rsidRPr="00CB216A">
        <w:rPr>
          <w:rFonts w:ascii="Times New Roman" w:hAnsi="Times New Roman" w:cs="Times New Roman"/>
          <w:sz w:val="24"/>
          <w:szCs w:val="24"/>
          <w:lang w:val="en-US"/>
        </w:rPr>
        <w:t>shariah</w:t>
      </w:r>
      <w:r w:rsidRPr="00CB216A">
        <w:rPr>
          <w:rFonts w:ascii="Times New Roman" w:hAnsi="Times New Roman" w:cs="Times New Roman"/>
          <w:sz w:val="24"/>
          <w:szCs w:val="24"/>
          <w:lang w:val="en-US"/>
        </w:rPr>
        <w:t xml:space="preserve">-compliant transaction activities based on the Islamic tenets. </w:t>
      </w:r>
      <w:r w:rsidR="00294E9C" w:rsidRPr="00CB216A">
        <w:rPr>
          <w:rFonts w:ascii="Times New Roman" w:hAnsi="Times New Roman" w:cs="Times New Roman"/>
          <w:sz w:val="24"/>
          <w:szCs w:val="24"/>
          <w:lang w:val="en-US"/>
        </w:rPr>
        <w:t xml:space="preserve">This study also </w:t>
      </w:r>
      <w:r w:rsidRPr="00CB216A">
        <w:rPr>
          <w:rFonts w:ascii="Times New Roman" w:hAnsi="Times New Roman" w:cs="Times New Roman"/>
          <w:sz w:val="24"/>
          <w:szCs w:val="24"/>
          <w:lang w:val="en-US"/>
        </w:rPr>
        <w:t>provided evidence</w:t>
      </w:r>
      <w:r w:rsidRPr="00CB216A">
        <w:rPr>
          <w:rFonts w:ascii="Times New Roman" w:hAnsi="Times New Roman" w:cs="Times New Roman"/>
          <w:sz w:val="24"/>
          <w:szCs w:val="24"/>
          <w:lang w:val="en-US"/>
        </w:rPr>
        <w:t xml:space="preserve">s of the insignificant influence of liquidity, </w:t>
      </w:r>
      <w:r w:rsidR="009C4504" w:rsidRPr="00CB216A">
        <w:rPr>
          <w:rFonts w:ascii="Times New Roman" w:hAnsi="Times New Roman" w:cs="Times New Roman"/>
          <w:sz w:val="24"/>
          <w:szCs w:val="24"/>
          <w:lang w:val="en-US"/>
        </w:rPr>
        <w:t>solvency</w:t>
      </w:r>
      <w:r w:rsidRPr="00CB216A">
        <w:rPr>
          <w:rFonts w:ascii="Times New Roman" w:hAnsi="Times New Roman" w:cs="Times New Roman"/>
          <w:sz w:val="24"/>
          <w:szCs w:val="24"/>
          <w:lang w:val="en-US"/>
        </w:rPr>
        <w:t>,</w:t>
      </w:r>
      <w:r w:rsidR="00294E9C" w:rsidRPr="00CB216A">
        <w:rPr>
          <w:rFonts w:ascii="Times New Roman" w:hAnsi="Times New Roman" w:cs="Times New Roman"/>
          <w:sz w:val="24"/>
          <w:szCs w:val="24"/>
          <w:lang w:val="en-US"/>
        </w:rPr>
        <w:t xml:space="preserve"> and company size </w:t>
      </w:r>
      <w:r w:rsidRPr="00CB216A">
        <w:rPr>
          <w:rFonts w:ascii="Times New Roman" w:hAnsi="Times New Roman" w:cs="Times New Roman"/>
          <w:sz w:val="24"/>
          <w:szCs w:val="24"/>
          <w:lang w:val="en-US"/>
        </w:rPr>
        <w:t xml:space="preserve">on the </w:t>
      </w:r>
      <w:r w:rsidR="00294E9C" w:rsidRPr="00CB216A">
        <w:rPr>
          <w:rFonts w:ascii="Times New Roman" w:hAnsi="Times New Roman" w:cs="Times New Roman"/>
          <w:sz w:val="24"/>
          <w:szCs w:val="24"/>
          <w:lang w:val="en-US"/>
        </w:rPr>
        <w:t xml:space="preserve">Islamic stock returns. Therefore, based on this research, neither companies nor investors need to pay attention and consider </w:t>
      </w:r>
      <w:r w:rsidRPr="00CB216A">
        <w:rPr>
          <w:rFonts w:ascii="Times New Roman" w:hAnsi="Times New Roman" w:cs="Times New Roman"/>
          <w:sz w:val="24"/>
          <w:szCs w:val="24"/>
          <w:lang w:val="en-US"/>
        </w:rPr>
        <w:t xml:space="preserve">these variables </w:t>
      </w:r>
      <w:r w:rsidR="00294E9C" w:rsidRPr="00CB216A">
        <w:rPr>
          <w:rFonts w:ascii="Times New Roman" w:hAnsi="Times New Roman" w:cs="Times New Roman"/>
          <w:sz w:val="24"/>
          <w:szCs w:val="24"/>
          <w:lang w:val="en-US"/>
        </w:rPr>
        <w:t xml:space="preserve">for </w:t>
      </w:r>
      <w:r w:rsidRPr="00CB216A">
        <w:rPr>
          <w:rFonts w:ascii="Times New Roman" w:hAnsi="Times New Roman" w:cs="Times New Roman"/>
          <w:sz w:val="24"/>
          <w:szCs w:val="24"/>
          <w:lang w:val="en-US"/>
        </w:rPr>
        <w:t xml:space="preserve">their </w:t>
      </w:r>
      <w:r w:rsidR="00294E9C" w:rsidRPr="00CB216A">
        <w:rPr>
          <w:rFonts w:ascii="Times New Roman" w:hAnsi="Times New Roman" w:cs="Times New Roman"/>
          <w:sz w:val="24"/>
          <w:szCs w:val="24"/>
          <w:lang w:val="en-US"/>
        </w:rPr>
        <w:t>investment decisions</w:t>
      </w:r>
      <w:r w:rsidRPr="00CB216A">
        <w:rPr>
          <w:rFonts w:ascii="Times New Roman" w:hAnsi="Times New Roman" w:cs="Times New Roman"/>
          <w:sz w:val="24"/>
          <w:szCs w:val="24"/>
          <w:lang w:val="en-US"/>
        </w:rPr>
        <w:t xml:space="preserve">. </w:t>
      </w:r>
    </w:p>
    <w:p w:rsidR="006008B9" w:rsidRPr="00CB216A" w:rsidRDefault="0046403F" w:rsidP="006008B9">
      <w:pPr>
        <w:shd w:val="clear" w:color="auto" w:fill="FFFFFF" w:themeFill="background1"/>
        <w:spacing w:before="100" w:beforeAutospacing="1" w:after="100" w:afterAutospacing="1"/>
        <w:jc w:val="both"/>
        <w:rPr>
          <w:rFonts w:ascii="Times New Roman" w:hAnsi="Times New Roman" w:cs="Times New Roman"/>
          <w:sz w:val="24"/>
          <w:szCs w:val="24"/>
          <w:lang w:val="en-US"/>
        </w:rPr>
      </w:pPr>
      <w:r w:rsidRPr="00CB216A">
        <w:rPr>
          <w:rFonts w:ascii="Times New Roman" w:hAnsi="Times New Roman" w:cs="Times New Roman"/>
          <w:sz w:val="24"/>
          <w:szCs w:val="24"/>
          <w:lang w:val="en-US"/>
        </w:rPr>
        <w:t xml:space="preserve">The </w:t>
      </w:r>
      <w:r w:rsidR="000F1570" w:rsidRPr="00CB216A">
        <w:rPr>
          <w:rFonts w:ascii="Times New Roman" w:hAnsi="Times New Roman" w:cs="Times New Roman"/>
          <w:sz w:val="24"/>
          <w:szCs w:val="24"/>
          <w:lang w:val="en-US"/>
        </w:rPr>
        <w:t xml:space="preserve">study </w:t>
      </w:r>
      <w:r w:rsidRPr="00CB216A">
        <w:rPr>
          <w:rFonts w:ascii="Times New Roman" w:hAnsi="Times New Roman" w:cs="Times New Roman"/>
          <w:sz w:val="24"/>
          <w:szCs w:val="24"/>
          <w:lang w:val="en-US"/>
        </w:rPr>
        <w:t>only use</w:t>
      </w:r>
      <w:r w:rsidR="000F1570" w:rsidRPr="00CB216A">
        <w:rPr>
          <w:rFonts w:ascii="Times New Roman" w:hAnsi="Times New Roman" w:cs="Times New Roman"/>
          <w:sz w:val="24"/>
          <w:szCs w:val="24"/>
          <w:lang w:val="en-US"/>
        </w:rPr>
        <w:t xml:space="preserve">d </w:t>
      </w:r>
      <w:r w:rsidRPr="00CB216A">
        <w:rPr>
          <w:rFonts w:ascii="Times New Roman" w:hAnsi="Times New Roman" w:cs="Times New Roman"/>
          <w:sz w:val="24"/>
          <w:szCs w:val="24"/>
          <w:lang w:val="en-US"/>
        </w:rPr>
        <w:t xml:space="preserve">variables </w:t>
      </w:r>
      <w:r w:rsidR="000F1570" w:rsidRPr="00CB216A">
        <w:rPr>
          <w:rFonts w:ascii="Times New Roman" w:hAnsi="Times New Roman" w:cs="Times New Roman"/>
          <w:sz w:val="24"/>
          <w:szCs w:val="24"/>
          <w:lang w:val="en-US"/>
        </w:rPr>
        <w:t xml:space="preserve">of </w:t>
      </w:r>
      <w:r w:rsidRPr="00CB216A">
        <w:rPr>
          <w:rFonts w:ascii="Times New Roman" w:hAnsi="Times New Roman" w:cs="Times New Roman"/>
          <w:sz w:val="24"/>
          <w:szCs w:val="24"/>
          <w:lang w:val="en-US"/>
        </w:rPr>
        <w:t xml:space="preserve">profitability, liquidity, </w:t>
      </w:r>
      <w:r w:rsidR="009C4504" w:rsidRPr="00CB216A">
        <w:rPr>
          <w:rFonts w:ascii="Times New Roman" w:hAnsi="Times New Roman" w:cs="Times New Roman"/>
          <w:sz w:val="24"/>
          <w:szCs w:val="24"/>
          <w:lang w:val="en-US"/>
        </w:rPr>
        <w:t>solvency</w:t>
      </w:r>
      <w:r w:rsidR="000F1570" w:rsidRPr="00CB216A">
        <w:rPr>
          <w:rFonts w:ascii="Times New Roman" w:hAnsi="Times New Roman" w:cs="Times New Roman"/>
          <w:sz w:val="24"/>
          <w:szCs w:val="24"/>
          <w:lang w:val="en-US"/>
        </w:rPr>
        <w:t xml:space="preserve">, and firm as the determinants of Islamic stock returns </w:t>
      </w:r>
      <w:r w:rsidR="00760D50" w:rsidRPr="00CB216A">
        <w:rPr>
          <w:rFonts w:ascii="Times New Roman" w:hAnsi="Times New Roman" w:cs="Times New Roman"/>
          <w:sz w:val="24"/>
          <w:szCs w:val="24"/>
          <w:lang w:val="en-US"/>
        </w:rPr>
        <w:t xml:space="preserve">in Indonesia </w:t>
      </w:r>
      <w:r w:rsidR="000F1570" w:rsidRPr="00CB216A">
        <w:rPr>
          <w:rFonts w:ascii="Times New Roman" w:hAnsi="Times New Roman" w:cs="Times New Roman"/>
          <w:sz w:val="24"/>
          <w:szCs w:val="24"/>
          <w:lang w:val="en-US"/>
        </w:rPr>
        <w:t xml:space="preserve">over the 2013-2017 period. To provide more comprehensive and robust empirical evidence on the </w:t>
      </w:r>
      <w:r w:rsidR="000F1570" w:rsidRPr="00CB216A">
        <w:rPr>
          <w:rFonts w:ascii="Times New Roman" w:hAnsi="Times New Roman" w:cs="Times New Roman"/>
          <w:sz w:val="24"/>
          <w:szCs w:val="24"/>
          <w:lang w:val="en-US"/>
        </w:rPr>
        <w:lastRenderedPageBreak/>
        <w:t xml:space="preserve">determinants of Islamic stock returns, further studies on this topic </w:t>
      </w:r>
      <w:r w:rsidRPr="00CB216A">
        <w:rPr>
          <w:rFonts w:ascii="Times New Roman" w:hAnsi="Times New Roman" w:cs="Times New Roman"/>
          <w:sz w:val="24"/>
          <w:szCs w:val="24"/>
          <w:lang w:val="en-US"/>
        </w:rPr>
        <w:t>c</w:t>
      </w:r>
      <w:r w:rsidR="000F1570" w:rsidRPr="00CB216A">
        <w:rPr>
          <w:rFonts w:ascii="Times New Roman" w:hAnsi="Times New Roman" w:cs="Times New Roman"/>
          <w:sz w:val="24"/>
          <w:szCs w:val="24"/>
          <w:lang w:val="en-US"/>
        </w:rPr>
        <w:t xml:space="preserve">ould </w:t>
      </w:r>
      <w:r w:rsidRPr="00CB216A">
        <w:rPr>
          <w:rFonts w:ascii="Times New Roman" w:hAnsi="Times New Roman" w:cs="Times New Roman"/>
          <w:sz w:val="24"/>
          <w:szCs w:val="24"/>
          <w:lang w:val="en-US"/>
        </w:rPr>
        <w:t xml:space="preserve">add </w:t>
      </w:r>
      <w:r w:rsidR="000F1570" w:rsidRPr="00CB216A">
        <w:rPr>
          <w:rFonts w:ascii="Times New Roman" w:hAnsi="Times New Roman" w:cs="Times New Roman"/>
          <w:sz w:val="24"/>
          <w:szCs w:val="24"/>
          <w:lang w:val="en-US"/>
        </w:rPr>
        <w:t xml:space="preserve">more determinants of Islamic stocks in their analyses. A comparative analysis of determinants of Islamic and conventional stock returns would also provide a more insightful on this topic. Finally, a comparative analysis of the </w:t>
      </w:r>
      <w:r w:rsidR="00CB216A" w:rsidRPr="00CB216A">
        <w:rPr>
          <w:rFonts w:ascii="Times New Roman" w:hAnsi="Times New Roman" w:cs="Times New Roman"/>
          <w:sz w:val="24"/>
          <w:szCs w:val="24"/>
          <w:lang w:val="en-US"/>
        </w:rPr>
        <w:t>determinants</w:t>
      </w:r>
      <w:r w:rsidR="000F1570" w:rsidRPr="00CB216A">
        <w:rPr>
          <w:rFonts w:ascii="Times New Roman" w:hAnsi="Times New Roman" w:cs="Times New Roman"/>
          <w:sz w:val="24"/>
          <w:szCs w:val="24"/>
          <w:lang w:val="en-US"/>
        </w:rPr>
        <w:t xml:space="preserve"> of Islamic stocks across the global Islamic stocks would also offer a comprehensive nature of relationships between Islamic </w:t>
      </w:r>
      <w:r w:rsidRPr="00CB216A">
        <w:rPr>
          <w:rFonts w:ascii="Times New Roman" w:hAnsi="Times New Roman" w:cs="Times New Roman"/>
          <w:sz w:val="24"/>
          <w:szCs w:val="24"/>
          <w:lang w:val="en-US"/>
        </w:rPr>
        <w:t>stock returns and</w:t>
      </w:r>
      <w:r w:rsidR="000F1570" w:rsidRPr="00CB216A">
        <w:rPr>
          <w:rFonts w:ascii="Times New Roman" w:hAnsi="Times New Roman" w:cs="Times New Roman"/>
          <w:sz w:val="24"/>
          <w:szCs w:val="24"/>
          <w:lang w:val="en-US"/>
        </w:rPr>
        <w:t xml:space="preserve"> their determinants.</w:t>
      </w:r>
    </w:p>
    <w:p w:rsidR="00606B03" w:rsidRPr="00CB216A" w:rsidRDefault="0046403F" w:rsidP="006008B9">
      <w:pPr>
        <w:shd w:val="clear" w:color="auto" w:fill="FFFFFF" w:themeFill="background1"/>
        <w:spacing w:before="100" w:beforeAutospacing="1" w:after="100" w:afterAutospacing="1"/>
        <w:jc w:val="both"/>
        <w:rPr>
          <w:rFonts w:ascii="Times New Roman" w:hAnsi="Times New Roman" w:cs="Times New Roman"/>
          <w:b/>
          <w:color w:val="000000" w:themeColor="text1"/>
          <w:sz w:val="24"/>
          <w:szCs w:val="24"/>
          <w:lang w:val="en-US"/>
        </w:rPr>
      </w:pPr>
      <w:r w:rsidRPr="00CB216A">
        <w:rPr>
          <w:rFonts w:ascii="Times New Roman" w:hAnsi="Times New Roman" w:cs="Times New Roman"/>
          <w:b/>
          <w:color w:val="000000" w:themeColor="text1"/>
          <w:sz w:val="24"/>
          <w:szCs w:val="24"/>
          <w:lang w:val="en-US"/>
        </w:rPr>
        <w:t>REFERENCES</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sz w:val="24"/>
          <w:szCs w:val="24"/>
          <w:shd w:val="clear" w:color="auto" w:fill="FFFFFF"/>
          <w:lang w:val="en-US"/>
        </w:rPr>
      </w:pPr>
      <w:r w:rsidRPr="00CB216A">
        <w:rPr>
          <w:rFonts w:ascii="Times New Roman" w:hAnsi="Times New Roman" w:cs="Times New Roman"/>
          <w:sz w:val="24"/>
          <w:szCs w:val="24"/>
          <w:shd w:val="clear" w:color="auto" w:fill="FFFFFF"/>
          <w:lang w:val="en-US"/>
        </w:rPr>
        <w:t xml:space="preserve">Amalia, R., Arfan, M., &amp; Majid, M. S. A. </w:t>
      </w:r>
      <w:r w:rsidRPr="00CB216A">
        <w:rPr>
          <w:rFonts w:ascii="Times New Roman" w:hAnsi="Times New Roman" w:cs="Times New Roman"/>
          <w:sz w:val="24"/>
          <w:szCs w:val="24"/>
          <w:shd w:val="clear" w:color="auto" w:fill="FFFFFF"/>
          <w:lang w:val="en-US"/>
        </w:rPr>
        <w:t>(2014). Pengaruh laba, pengungkapan corporate social responsibiity, dan profitabilitas terhadap abnormal return saham. </w:t>
      </w:r>
      <w:r w:rsidRPr="00CB216A">
        <w:rPr>
          <w:rFonts w:ascii="Times New Roman" w:hAnsi="Times New Roman" w:cs="Times New Roman"/>
          <w:i/>
          <w:iCs/>
          <w:sz w:val="24"/>
          <w:szCs w:val="24"/>
          <w:shd w:val="clear" w:color="auto" w:fill="FFFFFF"/>
          <w:lang w:val="en-US"/>
        </w:rPr>
        <w:t>Jurnal  Akuntansi Pascasarjana Universitas Syiah Kuala, 3</w:t>
      </w:r>
      <w:r w:rsidRPr="00CB216A">
        <w:rPr>
          <w:rFonts w:ascii="Times New Roman" w:hAnsi="Times New Roman" w:cs="Times New Roman"/>
          <w:iCs/>
          <w:sz w:val="24"/>
          <w:szCs w:val="24"/>
          <w:shd w:val="clear" w:color="auto" w:fill="FFFFFF"/>
          <w:lang w:val="en-US"/>
        </w:rPr>
        <w:t>(1), 124-132.</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Anggrahini, D. P., &amp; Priyadi, M. P. (2016). Pengaruh kinerja keuan</w:t>
      </w:r>
      <w:r w:rsidRPr="00CB216A">
        <w:rPr>
          <w:rFonts w:ascii="Times New Roman" w:hAnsi="Times New Roman" w:cs="Times New Roman"/>
          <w:color w:val="000000" w:themeColor="text1"/>
          <w:sz w:val="24"/>
          <w:szCs w:val="24"/>
          <w:lang w:val="en-US"/>
        </w:rPr>
        <w:t>gan dan growth opportunity terhadap return saham.</w:t>
      </w:r>
      <w:r w:rsidRPr="00CB216A">
        <w:rPr>
          <w:rFonts w:ascii="Times New Roman" w:hAnsi="Times New Roman" w:cs="Times New Roman"/>
          <w:i/>
          <w:color w:val="000000" w:themeColor="text1"/>
          <w:sz w:val="24"/>
          <w:szCs w:val="24"/>
          <w:lang w:val="en-US"/>
        </w:rPr>
        <w:t xml:space="preserve"> Jurnal Ilmu dan Riset Akuntansi</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5</w:t>
      </w:r>
      <w:r w:rsidRPr="00CB216A">
        <w:rPr>
          <w:rFonts w:ascii="Times New Roman" w:hAnsi="Times New Roman" w:cs="Times New Roman"/>
          <w:color w:val="000000" w:themeColor="text1"/>
          <w:sz w:val="24"/>
          <w:szCs w:val="24"/>
          <w:lang w:val="en-US"/>
        </w:rPr>
        <w:t>(3), 1-16.</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Antara, S., Sepang, J., &amp; Saerang, I. S. (2014). Analisis rasio likuiditas, aktivitas, dan profitabilitas terhadap return saham perusahaan wholesale yang terdaft</w:t>
      </w:r>
      <w:r w:rsidRPr="00CB216A">
        <w:rPr>
          <w:rFonts w:ascii="Times New Roman" w:hAnsi="Times New Roman" w:cs="Times New Roman"/>
          <w:color w:val="000000" w:themeColor="text1"/>
          <w:sz w:val="24"/>
          <w:szCs w:val="24"/>
          <w:lang w:val="en-US"/>
        </w:rPr>
        <w:t xml:space="preserve">ar di bursa efek Indonesia. </w:t>
      </w:r>
      <w:r w:rsidRPr="00CB216A">
        <w:rPr>
          <w:rFonts w:ascii="Times New Roman" w:hAnsi="Times New Roman" w:cs="Times New Roman"/>
          <w:i/>
          <w:color w:val="000000" w:themeColor="text1"/>
          <w:sz w:val="24"/>
          <w:szCs w:val="24"/>
          <w:lang w:val="en-US"/>
        </w:rPr>
        <w:t>Jurnal EMBA</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2</w:t>
      </w:r>
      <w:r w:rsidRPr="00CB216A">
        <w:rPr>
          <w:rFonts w:ascii="Times New Roman" w:hAnsi="Times New Roman" w:cs="Times New Roman"/>
          <w:color w:val="000000" w:themeColor="text1"/>
          <w:sz w:val="24"/>
          <w:szCs w:val="24"/>
          <w:lang w:val="en-US"/>
        </w:rPr>
        <w:t>(3), 902-911.</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Anwaar, M. (2016). Impact of firms performance on stock returns (Evidence from Listed Companies of FTSE-100 Index London, Uk). </w:t>
      </w:r>
      <w:r w:rsidRPr="00CB216A">
        <w:rPr>
          <w:rFonts w:ascii="Times New Roman" w:hAnsi="Times New Roman" w:cs="Times New Roman"/>
          <w:i/>
          <w:color w:val="000000" w:themeColor="text1"/>
          <w:sz w:val="24"/>
          <w:szCs w:val="24"/>
          <w:lang w:val="en-US"/>
        </w:rPr>
        <w:t>Global Journal of Management and Business Research: Accounting and Auditi</w:t>
      </w:r>
      <w:r w:rsidRPr="00CB216A">
        <w:rPr>
          <w:rFonts w:ascii="Times New Roman" w:hAnsi="Times New Roman" w:cs="Times New Roman"/>
          <w:i/>
          <w:color w:val="000000" w:themeColor="text1"/>
          <w:sz w:val="24"/>
          <w:szCs w:val="24"/>
          <w:lang w:val="en-US"/>
        </w:rPr>
        <w:t>ng</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16</w:t>
      </w:r>
      <w:r w:rsidRPr="00CB216A">
        <w:rPr>
          <w:rFonts w:ascii="Times New Roman" w:hAnsi="Times New Roman" w:cs="Times New Roman"/>
          <w:color w:val="000000" w:themeColor="text1"/>
          <w:sz w:val="24"/>
          <w:szCs w:val="24"/>
          <w:lang w:val="en-US"/>
        </w:rPr>
        <w:t>(1), 1-10.</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Araujo, R. C., &amp; Machado, M. A. (2018). Book-to market ratio, return on equity and Brazilian stock returns. </w:t>
      </w:r>
      <w:r w:rsidRPr="00CB216A">
        <w:rPr>
          <w:rFonts w:ascii="Times New Roman" w:hAnsi="Times New Roman" w:cs="Times New Roman"/>
          <w:i/>
          <w:color w:val="000000" w:themeColor="text1"/>
          <w:sz w:val="24"/>
          <w:szCs w:val="24"/>
          <w:lang w:val="en-US"/>
        </w:rPr>
        <w:t>RAUSP Management Journal</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53</w:t>
      </w:r>
      <w:r w:rsidRPr="00CB216A">
        <w:rPr>
          <w:rFonts w:ascii="Times New Roman" w:hAnsi="Times New Roman" w:cs="Times New Roman"/>
          <w:color w:val="000000" w:themeColor="text1"/>
          <w:sz w:val="24"/>
          <w:szCs w:val="24"/>
          <w:lang w:val="en-US"/>
        </w:rPr>
        <w:t>(3), 324-344.</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Arfan, M., Basri, H., Handayani, R., Majid, M. S. A., Fahlevi, H., &amp;</w:t>
      </w:r>
      <w:r w:rsidRPr="00CB216A">
        <w:rPr>
          <w:rFonts w:ascii="Times New Roman" w:hAnsi="Times New Roman" w:cs="Times New Roman"/>
          <w:color w:val="000000" w:themeColor="text1"/>
          <w:sz w:val="24"/>
          <w:szCs w:val="24"/>
          <w:lang w:val="en-US"/>
        </w:rPr>
        <w:t xml:space="preserve"> Dianah, A. (2017). Determinant of cash holding of listed manufacturing companies in the Indonesian stock exchange. </w:t>
      </w:r>
      <w:r w:rsidRPr="00CB216A">
        <w:rPr>
          <w:rFonts w:ascii="Times New Roman" w:hAnsi="Times New Roman" w:cs="Times New Roman"/>
          <w:i/>
          <w:color w:val="000000" w:themeColor="text1"/>
          <w:sz w:val="24"/>
          <w:szCs w:val="24"/>
          <w:lang w:val="en-US"/>
        </w:rPr>
        <w:t>DLSU Business Economic Reviews</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26</w:t>
      </w:r>
      <w:r w:rsidRPr="00CB216A">
        <w:rPr>
          <w:rFonts w:ascii="Times New Roman" w:hAnsi="Times New Roman" w:cs="Times New Roman"/>
          <w:color w:val="000000" w:themeColor="text1"/>
          <w:sz w:val="24"/>
          <w:szCs w:val="24"/>
          <w:lang w:val="en-US"/>
        </w:rPr>
        <w:t>(2), 1-12.</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Baker, R. E., Lembke, V. C., &amp; King, T. E. (2013). </w:t>
      </w:r>
      <w:r w:rsidRPr="00CB216A">
        <w:rPr>
          <w:rFonts w:ascii="Times New Roman" w:hAnsi="Times New Roman" w:cs="Times New Roman"/>
          <w:i/>
          <w:color w:val="000000" w:themeColor="text1"/>
          <w:sz w:val="24"/>
          <w:szCs w:val="24"/>
          <w:lang w:val="en-US"/>
        </w:rPr>
        <w:t>Akuntansi Keuangan Lanjutan.</w:t>
      </w:r>
      <w:r w:rsidRPr="00CB216A">
        <w:rPr>
          <w:rFonts w:ascii="Times New Roman" w:hAnsi="Times New Roman" w:cs="Times New Roman"/>
          <w:color w:val="000000" w:themeColor="text1"/>
          <w:sz w:val="24"/>
          <w:szCs w:val="24"/>
          <w:lang w:val="en-US"/>
        </w:rPr>
        <w:t xml:space="preserve"> (Translated by </w:t>
      </w:r>
      <w:r w:rsidRPr="00CB216A">
        <w:rPr>
          <w:rFonts w:ascii="Times New Roman" w:hAnsi="Times New Roman" w:cs="Times New Roman"/>
          <w:color w:val="000000" w:themeColor="text1"/>
          <w:sz w:val="24"/>
          <w:szCs w:val="24"/>
          <w:lang w:val="en-US"/>
        </w:rPr>
        <w:t>Sylvia Veronica). Jakarta: Salemba Empat.</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sz w:val="24"/>
          <w:szCs w:val="24"/>
          <w:shd w:val="clear" w:color="auto" w:fill="FFFFFF"/>
          <w:lang w:val="en-US"/>
        </w:rPr>
      </w:pPr>
      <w:r w:rsidRPr="00CB216A">
        <w:rPr>
          <w:rFonts w:ascii="Times New Roman" w:hAnsi="Times New Roman" w:cs="Times New Roman"/>
          <w:sz w:val="24"/>
          <w:szCs w:val="24"/>
          <w:shd w:val="clear" w:color="auto" w:fill="FFFFFF"/>
          <w:lang w:val="en-US"/>
        </w:rPr>
        <w:t>Basri, H., Februari, C. P., &amp; Majid, M. S. A. (2019). Does Indonesia Sustainability Reporting Award (ISRA) cause abnormal return and stock trading volume: A comparative analysis. </w:t>
      </w:r>
      <w:r w:rsidRPr="00CB216A">
        <w:rPr>
          <w:rFonts w:ascii="Times New Roman" w:hAnsi="Times New Roman" w:cs="Times New Roman"/>
          <w:i/>
          <w:iCs/>
          <w:sz w:val="24"/>
          <w:szCs w:val="24"/>
          <w:shd w:val="clear" w:color="auto" w:fill="FFFFFF"/>
          <w:lang w:val="en-US"/>
        </w:rPr>
        <w:t xml:space="preserve">Academic Journal of Economic </w:t>
      </w:r>
      <w:r w:rsidRPr="00CB216A">
        <w:rPr>
          <w:rFonts w:ascii="Times New Roman" w:hAnsi="Times New Roman" w:cs="Times New Roman"/>
          <w:i/>
          <w:iCs/>
          <w:sz w:val="24"/>
          <w:szCs w:val="24"/>
          <w:shd w:val="clear" w:color="auto" w:fill="FFFFFF"/>
          <w:lang w:val="en-US"/>
        </w:rPr>
        <w:t>Studies</w:t>
      </w:r>
      <w:r w:rsidRPr="00CB216A">
        <w:rPr>
          <w:rFonts w:ascii="Times New Roman" w:hAnsi="Times New Roman" w:cs="Times New Roman"/>
          <w:sz w:val="24"/>
          <w:szCs w:val="24"/>
          <w:shd w:val="clear" w:color="auto" w:fill="FFFFFF"/>
          <w:lang w:val="en-US"/>
        </w:rPr>
        <w:t>, </w:t>
      </w:r>
      <w:r w:rsidRPr="00CB216A">
        <w:rPr>
          <w:rFonts w:ascii="Times New Roman" w:hAnsi="Times New Roman" w:cs="Times New Roman"/>
          <w:i/>
          <w:iCs/>
          <w:sz w:val="24"/>
          <w:szCs w:val="24"/>
          <w:shd w:val="clear" w:color="auto" w:fill="FFFFFF"/>
          <w:lang w:val="en-US"/>
        </w:rPr>
        <w:t>5</w:t>
      </w:r>
      <w:r w:rsidRPr="00CB216A">
        <w:rPr>
          <w:rFonts w:ascii="Times New Roman" w:hAnsi="Times New Roman" w:cs="Times New Roman"/>
          <w:sz w:val="24"/>
          <w:szCs w:val="24"/>
          <w:shd w:val="clear" w:color="auto" w:fill="FFFFFF"/>
          <w:lang w:val="en-US"/>
        </w:rPr>
        <w:t>(1), 74-79.</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Belz, T., Hagen, D. V., &amp; Steffens, C. (2018). Taxes and firm size: Political cost or political power?. </w:t>
      </w:r>
      <w:r w:rsidRPr="00CB216A">
        <w:rPr>
          <w:rFonts w:ascii="Times New Roman" w:hAnsi="Times New Roman" w:cs="Times New Roman"/>
          <w:i/>
          <w:color w:val="000000" w:themeColor="text1"/>
          <w:sz w:val="24"/>
          <w:szCs w:val="24"/>
          <w:lang w:val="en-US"/>
        </w:rPr>
        <w:t>Journal of Accounting Literature</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1</w:t>
      </w:r>
      <w:r w:rsidRPr="00CB216A">
        <w:rPr>
          <w:rFonts w:ascii="Times New Roman" w:hAnsi="Times New Roman" w:cs="Times New Roman"/>
          <w:color w:val="000000" w:themeColor="text1"/>
          <w:sz w:val="24"/>
          <w:szCs w:val="24"/>
          <w:lang w:val="en-US"/>
        </w:rPr>
        <w:t>(1), 1-43.</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lastRenderedPageBreak/>
        <w:t xml:space="preserve">Bisara, C., &amp; Amanah, L. (2015). Pengaruh kinerja keuangan terhadap return saham. </w:t>
      </w:r>
      <w:r w:rsidRPr="00CB216A">
        <w:rPr>
          <w:rFonts w:ascii="Times New Roman" w:hAnsi="Times New Roman" w:cs="Times New Roman"/>
          <w:i/>
          <w:color w:val="000000" w:themeColor="text1"/>
          <w:sz w:val="24"/>
          <w:szCs w:val="24"/>
          <w:lang w:val="en-US"/>
        </w:rPr>
        <w:t>Ju</w:t>
      </w:r>
      <w:r w:rsidRPr="00CB216A">
        <w:rPr>
          <w:rFonts w:ascii="Times New Roman" w:hAnsi="Times New Roman" w:cs="Times New Roman"/>
          <w:i/>
          <w:color w:val="000000" w:themeColor="text1"/>
          <w:sz w:val="24"/>
          <w:szCs w:val="24"/>
          <w:lang w:val="en-US"/>
        </w:rPr>
        <w:t>rnal Ilmu dan Riset Akuntansi</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4</w:t>
      </w:r>
      <w:r w:rsidRPr="00CB216A">
        <w:rPr>
          <w:rFonts w:ascii="Times New Roman" w:hAnsi="Times New Roman" w:cs="Times New Roman"/>
          <w:color w:val="000000" w:themeColor="text1"/>
          <w:sz w:val="24"/>
          <w:szCs w:val="24"/>
          <w:lang w:val="en-US"/>
        </w:rPr>
        <w:t>(2), 1-14.</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Brigham, E. F., &amp; Houston, J. F. (2015). </w:t>
      </w:r>
      <w:r w:rsidRPr="00CB216A">
        <w:rPr>
          <w:rFonts w:ascii="Times New Roman" w:hAnsi="Times New Roman" w:cs="Times New Roman"/>
          <w:i/>
          <w:color w:val="000000" w:themeColor="text1"/>
          <w:sz w:val="24"/>
          <w:szCs w:val="24"/>
          <w:lang w:val="en-US"/>
        </w:rPr>
        <w:t>Dasar-dasar Manajemen Keuangan</w:t>
      </w:r>
      <w:r w:rsidRPr="00CB216A">
        <w:rPr>
          <w:rFonts w:ascii="Times New Roman" w:hAnsi="Times New Roman" w:cs="Times New Roman"/>
          <w:color w:val="000000" w:themeColor="text1"/>
          <w:sz w:val="24"/>
          <w:szCs w:val="24"/>
          <w:lang w:val="en-US"/>
        </w:rPr>
        <w:t>. (Translated by Ali Akbar Yulianto). Jakarta: Salemba Empat.</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Budialim, G. (2013). Pengaruh kinerja keuangan dan risiko terhadap return saham </w:t>
      </w:r>
      <w:r w:rsidRPr="00CB216A">
        <w:rPr>
          <w:rFonts w:ascii="Times New Roman" w:hAnsi="Times New Roman" w:cs="Times New Roman"/>
          <w:color w:val="000000" w:themeColor="text1"/>
          <w:sz w:val="24"/>
          <w:szCs w:val="24"/>
          <w:lang w:val="en-US"/>
        </w:rPr>
        <w:t xml:space="preserve">sektor consumer goods di BEI periode 2007-2011. </w:t>
      </w:r>
      <w:r w:rsidRPr="00CB216A">
        <w:rPr>
          <w:rFonts w:ascii="Times New Roman" w:hAnsi="Times New Roman" w:cs="Times New Roman"/>
          <w:i/>
          <w:color w:val="000000" w:themeColor="text1"/>
          <w:sz w:val="24"/>
          <w:szCs w:val="24"/>
          <w:lang w:val="en-US"/>
        </w:rPr>
        <w:t>Jurnal Ilmiah Mahasiswa Universitas Surabaya</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2</w:t>
      </w:r>
      <w:r w:rsidRPr="00CB216A">
        <w:rPr>
          <w:rFonts w:ascii="Times New Roman" w:hAnsi="Times New Roman" w:cs="Times New Roman"/>
          <w:color w:val="000000" w:themeColor="text1"/>
          <w:sz w:val="24"/>
          <w:szCs w:val="24"/>
          <w:lang w:val="en-US"/>
        </w:rPr>
        <w:t>(1), 1-23.</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222222"/>
          <w:sz w:val="24"/>
          <w:szCs w:val="24"/>
          <w:shd w:val="clear" w:color="auto" w:fill="FFFFFF"/>
          <w:lang w:val="en-US"/>
        </w:rPr>
      </w:pPr>
      <w:r w:rsidRPr="00CB216A">
        <w:rPr>
          <w:rFonts w:ascii="Times New Roman" w:hAnsi="Times New Roman" w:cs="Times New Roman"/>
          <w:color w:val="222222"/>
          <w:sz w:val="24"/>
          <w:szCs w:val="24"/>
          <w:shd w:val="clear" w:color="auto" w:fill="FFFFFF"/>
          <w:lang w:val="en-US"/>
        </w:rPr>
        <w:t>Connelly, B. L., Certo, S. T., Ireland, R. D., &amp; Reutzel, C. R. (2011). Signaling theory: A review and assessment. </w:t>
      </w:r>
      <w:r w:rsidRPr="00CB216A">
        <w:rPr>
          <w:rFonts w:ascii="Times New Roman" w:hAnsi="Times New Roman" w:cs="Times New Roman"/>
          <w:i/>
          <w:iCs/>
          <w:color w:val="222222"/>
          <w:sz w:val="24"/>
          <w:szCs w:val="24"/>
          <w:shd w:val="clear" w:color="auto" w:fill="FFFFFF"/>
          <w:lang w:val="en-US"/>
        </w:rPr>
        <w:t>Journal of Management</w:t>
      </w:r>
      <w:r w:rsidRPr="00CB216A">
        <w:rPr>
          <w:rFonts w:ascii="Times New Roman" w:hAnsi="Times New Roman" w:cs="Times New Roman"/>
          <w:color w:val="222222"/>
          <w:sz w:val="24"/>
          <w:szCs w:val="24"/>
          <w:shd w:val="clear" w:color="auto" w:fill="FFFFFF"/>
          <w:lang w:val="en-US"/>
        </w:rPr>
        <w:t>, </w:t>
      </w:r>
      <w:r w:rsidRPr="00CB216A">
        <w:rPr>
          <w:rFonts w:ascii="Times New Roman" w:hAnsi="Times New Roman" w:cs="Times New Roman"/>
          <w:i/>
          <w:iCs/>
          <w:color w:val="222222"/>
          <w:sz w:val="24"/>
          <w:szCs w:val="24"/>
          <w:shd w:val="clear" w:color="auto" w:fill="FFFFFF"/>
          <w:lang w:val="en-US"/>
        </w:rPr>
        <w:t>37</w:t>
      </w:r>
      <w:r w:rsidRPr="00CB216A">
        <w:rPr>
          <w:rFonts w:ascii="Times New Roman" w:hAnsi="Times New Roman" w:cs="Times New Roman"/>
          <w:color w:val="222222"/>
          <w:sz w:val="24"/>
          <w:szCs w:val="24"/>
          <w:shd w:val="clear" w:color="auto" w:fill="FFFFFF"/>
          <w:lang w:val="en-US"/>
        </w:rPr>
        <w:t xml:space="preserve">(1), </w:t>
      </w:r>
      <w:r w:rsidRPr="00CB216A">
        <w:rPr>
          <w:rFonts w:ascii="Times New Roman" w:hAnsi="Times New Roman" w:cs="Times New Roman"/>
          <w:color w:val="222222"/>
          <w:sz w:val="24"/>
          <w:szCs w:val="24"/>
          <w:shd w:val="clear" w:color="auto" w:fill="FFFFFF"/>
          <w:lang w:val="en-US"/>
        </w:rPr>
        <w:t>39-67.</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Erari, A. (2014). Analisis pengaruh current ratio, debt to equity ratio, dan return on asset terhadap return saham di perusahaan pertambangan di bursa efek indonesia. </w:t>
      </w:r>
      <w:r w:rsidRPr="00CB216A">
        <w:rPr>
          <w:rFonts w:ascii="Times New Roman" w:hAnsi="Times New Roman" w:cs="Times New Roman"/>
          <w:i/>
          <w:color w:val="000000" w:themeColor="text1"/>
          <w:sz w:val="24"/>
          <w:szCs w:val="24"/>
          <w:lang w:val="en-US"/>
        </w:rPr>
        <w:t>Jurnal Manajemen &amp; Bisnis</w:t>
      </w:r>
      <w:r w:rsidRPr="00CB216A">
        <w:rPr>
          <w:rFonts w:ascii="Times New Roman" w:hAnsi="Times New Roman" w:cs="Times New Roman"/>
          <w:color w:val="000000" w:themeColor="text1"/>
          <w:sz w:val="24"/>
          <w:szCs w:val="24"/>
          <w:lang w:val="en-US"/>
        </w:rPr>
        <w:t xml:space="preserve">, 5(2), 175-191. </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Fahmi, I. (2011). </w:t>
      </w:r>
      <w:r w:rsidRPr="00CB216A">
        <w:rPr>
          <w:rFonts w:ascii="Times New Roman" w:hAnsi="Times New Roman" w:cs="Times New Roman"/>
          <w:i/>
          <w:color w:val="000000" w:themeColor="text1"/>
          <w:sz w:val="24"/>
          <w:szCs w:val="24"/>
          <w:lang w:val="en-US"/>
        </w:rPr>
        <w:t>Manajemen Risiko Teor</w:t>
      </w:r>
      <w:r w:rsidRPr="00CB216A">
        <w:rPr>
          <w:rFonts w:ascii="Times New Roman" w:hAnsi="Times New Roman" w:cs="Times New Roman"/>
          <w:i/>
          <w:color w:val="000000" w:themeColor="text1"/>
          <w:sz w:val="24"/>
          <w:szCs w:val="24"/>
          <w:lang w:val="en-US"/>
        </w:rPr>
        <w:t xml:space="preserve">i Kasus dan Solusi. </w:t>
      </w:r>
      <w:r w:rsidRPr="00CB216A">
        <w:rPr>
          <w:rFonts w:ascii="Times New Roman" w:hAnsi="Times New Roman" w:cs="Times New Roman"/>
          <w:color w:val="000000" w:themeColor="text1"/>
          <w:sz w:val="24"/>
          <w:szCs w:val="24"/>
          <w:lang w:val="en-US"/>
        </w:rPr>
        <w:t>Bandung: Alfabeta.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Fakhruddin, M.,  &amp; Hadiyanto, M. S. (2001). </w:t>
      </w:r>
      <w:r w:rsidRPr="00CB216A">
        <w:rPr>
          <w:rFonts w:ascii="Times New Roman" w:hAnsi="Times New Roman" w:cs="Times New Roman"/>
          <w:i/>
          <w:color w:val="000000" w:themeColor="text1"/>
          <w:sz w:val="24"/>
          <w:szCs w:val="24"/>
          <w:lang w:val="en-US"/>
        </w:rPr>
        <w:t xml:space="preserve">Perangkat dan Model Analisis Investasi di Pasar Modal. </w:t>
      </w:r>
      <w:r w:rsidRPr="00CB216A">
        <w:rPr>
          <w:rFonts w:ascii="Times New Roman" w:hAnsi="Times New Roman" w:cs="Times New Roman"/>
          <w:color w:val="000000" w:themeColor="text1"/>
          <w:sz w:val="24"/>
          <w:szCs w:val="24"/>
          <w:lang w:val="en-US"/>
        </w:rPr>
        <w:t>Jakarta: PT. Elex Media Komputindo</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eastAsia="Times New Roman" w:hAnsi="Times New Roman" w:cs="Times New Roman"/>
          <w:sz w:val="24"/>
          <w:szCs w:val="24"/>
          <w:lang w:val="en-US" w:eastAsia="id-ID"/>
        </w:rPr>
        <w:t>Fitriana, D., Andini, R., &amp; Oemar, A. (2016). Pengaruh likuiditas, solvabilitas, pr</w:t>
      </w:r>
      <w:r w:rsidRPr="00CB216A">
        <w:rPr>
          <w:rFonts w:ascii="Times New Roman" w:eastAsia="Times New Roman" w:hAnsi="Times New Roman" w:cs="Times New Roman"/>
          <w:sz w:val="24"/>
          <w:szCs w:val="24"/>
          <w:lang w:val="en-US" w:eastAsia="id-ID"/>
        </w:rPr>
        <w:t xml:space="preserve">ofitabilitas, aktivitas dan kebijakan dividen terhadap return saham perusahaan pertambangan yang terdaftar pada BEI periode 2007-2013. </w:t>
      </w:r>
      <w:r w:rsidRPr="00CB216A">
        <w:rPr>
          <w:rFonts w:ascii="Times New Roman" w:eastAsia="Times New Roman" w:hAnsi="Times New Roman" w:cs="Times New Roman"/>
          <w:i/>
          <w:sz w:val="24"/>
          <w:szCs w:val="24"/>
          <w:lang w:val="en-US" w:eastAsia="id-ID"/>
        </w:rPr>
        <w:t>Journal of Accounting</w:t>
      </w:r>
      <w:r w:rsidRPr="00CB216A">
        <w:rPr>
          <w:rFonts w:ascii="Times New Roman" w:eastAsia="Times New Roman" w:hAnsi="Times New Roman" w:cs="Times New Roman"/>
          <w:sz w:val="24"/>
          <w:szCs w:val="24"/>
          <w:lang w:val="en-US" w:eastAsia="id-ID"/>
        </w:rPr>
        <w:t xml:space="preserve">, </w:t>
      </w:r>
      <w:r w:rsidRPr="00CB216A">
        <w:rPr>
          <w:rFonts w:ascii="Times New Roman" w:eastAsia="Times New Roman" w:hAnsi="Times New Roman" w:cs="Times New Roman"/>
          <w:i/>
          <w:sz w:val="24"/>
          <w:szCs w:val="24"/>
          <w:lang w:val="en-US" w:eastAsia="id-ID"/>
        </w:rPr>
        <w:t>2</w:t>
      </w:r>
      <w:r w:rsidRPr="00CB216A">
        <w:rPr>
          <w:rFonts w:ascii="Times New Roman" w:eastAsia="Times New Roman" w:hAnsi="Times New Roman" w:cs="Times New Roman"/>
          <w:sz w:val="24"/>
          <w:szCs w:val="24"/>
          <w:lang w:val="en-US" w:eastAsia="id-ID"/>
        </w:rPr>
        <w:t>(2), 1-16.</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Gujarati, D. (2003)</w:t>
      </w:r>
      <w:r w:rsidRPr="00CB216A">
        <w:rPr>
          <w:rFonts w:ascii="Times New Roman" w:hAnsi="Times New Roman" w:cs="Times New Roman"/>
          <w:i/>
          <w:color w:val="000000" w:themeColor="text1"/>
          <w:sz w:val="24"/>
          <w:szCs w:val="24"/>
          <w:lang w:val="en-US"/>
        </w:rPr>
        <w:t>. Ekonometrika Dasar</w:t>
      </w:r>
      <w:r w:rsidRPr="00CB216A">
        <w:rPr>
          <w:rFonts w:ascii="Times New Roman" w:hAnsi="Times New Roman" w:cs="Times New Roman"/>
          <w:color w:val="000000" w:themeColor="text1"/>
          <w:sz w:val="24"/>
          <w:szCs w:val="24"/>
          <w:lang w:val="en-US"/>
        </w:rPr>
        <w:t xml:space="preserve"> (Translated by Julius A. Mulyadi). Jakarta: Erlangga.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Gujarati, D. (2012)</w:t>
      </w:r>
      <w:r w:rsidRPr="00CB216A">
        <w:rPr>
          <w:rFonts w:ascii="Times New Roman" w:hAnsi="Times New Roman" w:cs="Times New Roman"/>
          <w:i/>
          <w:color w:val="000000" w:themeColor="text1"/>
          <w:sz w:val="24"/>
          <w:szCs w:val="24"/>
          <w:lang w:val="en-US"/>
        </w:rPr>
        <w:t>. Dasar-dasar ekonometrika</w:t>
      </w:r>
      <w:r w:rsidRPr="00CB216A">
        <w:rPr>
          <w:rFonts w:ascii="Times New Roman" w:hAnsi="Times New Roman" w:cs="Times New Roman"/>
          <w:color w:val="000000" w:themeColor="text1"/>
          <w:sz w:val="24"/>
          <w:szCs w:val="24"/>
          <w:lang w:val="en-US"/>
        </w:rPr>
        <w:t>.Terjemahan Raden Carlos Mangunsong. Jakarta: Salemba Empat.</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Gumanti, T. A. (2011). </w:t>
      </w:r>
      <w:r w:rsidRPr="00CB216A">
        <w:rPr>
          <w:rFonts w:ascii="Times New Roman" w:hAnsi="Times New Roman" w:cs="Times New Roman"/>
          <w:i/>
          <w:color w:val="000000" w:themeColor="text1"/>
          <w:sz w:val="24"/>
          <w:szCs w:val="24"/>
          <w:lang w:val="en-US"/>
        </w:rPr>
        <w:t xml:space="preserve">Manajemen </w:t>
      </w:r>
      <w:r w:rsidR="0037326C" w:rsidRPr="00CB216A">
        <w:rPr>
          <w:rFonts w:ascii="Times New Roman" w:hAnsi="Times New Roman" w:cs="Times New Roman"/>
          <w:i/>
          <w:color w:val="000000" w:themeColor="text1"/>
          <w:sz w:val="24"/>
          <w:szCs w:val="24"/>
          <w:lang w:val="en-US"/>
        </w:rPr>
        <w:t>Investasi Konsep, Teori dan Ap</w:t>
      </w:r>
      <w:r w:rsidRPr="00CB216A">
        <w:rPr>
          <w:rFonts w:ascii="Times New Roman" w:hAnsi="Times New Roman" w:cs="Times New Roman"/>
          <w:i/>
          <w:color w:val="000000" w:themeColor="text1"/>
          <w:sz w:val="24"/>
          <w:szCs w:val="24"/>
          <w:lang w:val="en-US"/>
        </w:rPr>
        <w:t>likasi</w:t>
      </w:r>
      <w:r w:rsidRPr="00CB216A">
        <w:rPr>
          <w:rFonts w:ascii="Times New Roman" w:hAnsi="Times New Roman" w:cs="Times New Roman"/>
          <w:color w:val="000000" w:themeColor="text1"/>
          <w:sz w:val="24"/>
          <w:szCs w:val="24"/>
          <w:lang w:val="en-US"/>
        </w:rPr>
        <w:t>. Jakarta: Mitra Wacana Me</w:t>
      </w:r>
      <w:r w:rsidRPr="00CB216A">
        <w:rPr>
          <w:rFonts w:ascii="Times New Roman" w:hAnsi="Times New Roman" w:cs="Times New Roman"/>
          <w:color w:val="000000" w:themeColor="text1"/>
          <w:sz w:val="24"/>
          <w:szCs w:val="24"/>
          <w:lang w:val="en-US"/>
        </w:rPr>
        <w:t>dia.</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 xml:space="preserve">Gunadi, G. G., &amp; Kesuma, I. K. W. (2015). Pengaruh ROA, DER, dan EPS terhadap return saham perusahaan food and beverage BEI. </w:t>
      </w:r>
      <w:r w:rsidRPr="00CB216A">
        <w:rPr>
          <w:rFonts w:ascii="Times New Roman" w:eastAsia="Times New Roman" w:hAnsi="Times New Roman" w:cs="Times New Roman"/>
          <w:i/>
          <w:color w:val="000000" w:themeColor="text1"/>
          <w:sz w:val="24"/>
          <w:szCs w:val="24"/>
          <w:lang w:val="en-US" w:eastAsia="id-ID"/>
        </w:rPr>
        <w:t>E-Jurnal Manajemen Udud</w:t>
      </w:r>
      <w:r w:rsidRPr="00CB216A">
        <w:rPr>
          <w:rFonts w:ascii="Times New Roman" w:eastAsia="Times New Roman" w:hAnsi="Times New Roman" w:cs="Times New Roman"/>
          <w:color w:val="000000" w:themeColor="text1"/>
          <w:sz w:val="24"/>
          <w:szCs w:val="24"/>
          <w:lang w:val="en-US" w:eastAsia="id-ID"/>
        </w:rPr>
        <w:t xml:space="preserve">, </w:t>
      </w:r>
      <w:r w:rsidRPr="00CB216A">
        <w:rPr>
          <w:rFonts w:ascii="Times New Roman" w:eastAsia="Times New Roman" w:hAnsi="Times New Roman" w:cs="Times New Roman"/>
          <w:i/>
          <w:color w:val="000000" w:themeColor="text1"/>
          <w:sz w:val="24"/>
          <w:szCs w:val="24"/>
          <w:lang w:val="en-US" w:eastAsia="id-ID"/>
        </w:rPr>
        <w:t>4</w:t>
      </w:r>
      <w:r w:rsidRPr="00CB216A">
        <w:rPr>
          <w:rFonts w:ascii="Times New Roman" w:eastAsia="Times New Roman" w:hAnsi="Times New Roman" w:cs="Times New Roman"/>
          <w:color w:val="000000" w:themeColor="text1"/>
          <w:sz w:val="24"/>
          <w:szCs w:val="24"/>
          <w:lang w:val="en-US" w:eastAsia="id-ID"/>
        </w:rPr>
        <w:t>(6), 1636-1647.</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Gunawan, B., &amp; </w:t>
      </w:r>
      <w:r w:rsidRPr="00CB216A">
        <w:rPr>
          <w:rFonts w:ascii="Times New Roman" w:eastAsia="Times New Roman" w:hAnsi="Times New Roman" w:cs="Times New Roman"/>
          <w:color w:val="000000" w:themeColor="text1"/>
          <w:sz w:val="24"/>
          <w:szCs w:val="24"/>
          <w:lang w:val="en-US" w:eastAsia="id-ID"/>
        </w:rPr>
        <w:t xml:space="preserve">Hardyani, R. P. (2014). Pengaruh kinerja keuangan dalam memprediksi return saham pada perusahaan manufaktur yang terdaftar di Bursa Efek Indonesia. </w:t>
      </w:r>
      <w:r w:rsidRPr="00CB216A">
        <w:rPr>
          <w:rFonts w:ascii="Times New Roman" w:hAnsi="Times New Roman" w:cs="Times New Roman"/>
          <w:i/>
          <w:color w:val="000000" w:themeColor="text1"/>
          <w:sz w:val="24"/>
          <w:szCs w:val="24"/>
          <w:lang w:val="en-US"/>
        </w:rPr>
        <w:t xml:space="preserve">Jurnal Akuntansi, </w:t>
      </w:r>
      <w:r w:rsidRPr="00CB216A">
        <w:rPr>
          <w:rFonts w:ascii="Times New Roman" w:hAnsi="Times New Roman" w:cs="Times New Roman"/>
          <w:color w:val="000000" w:themeColor="text1"/>
          <w:sz w:val="24"/>
          <w:szCs w:val="24"/>
          <w:lang w:val="en-US"/>
        </w:rPr>
        <w:t>2(1), 98-117.</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Haanurat, A. I. (2013). Pengaruh karakteristik perusahaan dan ekonomi makro </w:t>
      </w:r>
      <w:r w:rsidRPr="00CB216A">
        <w:rPr>
          <w:rFonts w:ascii="Times New Roman" w:hAnsi="Times New Roman" w:cs="Times New Roman"/>
          <w:color w:val="000000" w:themeColor="text1"/>
          <w:sz w:val="24"/>
          <w:szCs w:val="24"/>
          <w:lang w:val="en-US"/>
        </w:rPr>
        <w:t xml:space="preserve">terhadap return saham syariah yang listing di </w:t>
      </w:r>
      <w:r w:rsidR="0037326C" w:rsidRPr="00CB216A">
        <w:rPr>
          <w:rFonts w:ascii="Times New Roman" w:hAnsi="Times New Roman" w:cs="Times New Roman"/>
          <w:color w:val="000000" w:themeColor="text1"/>
          <w:sz w:val="24"/>
          <w:szCs w:val="24"/>
          <w:lang w:val="en-US"/>
        </w:rPr>
        <w:t>J</w:t>
      </w:r>
      <w:r w:rsidRPr="00CB216A">
        <w:rPr>
          <w:rFonts w:ascii="Times New Roman" w:hAnsi="Times New Roman" w:cs="Times New Roman"/>
          <w:color w:val="000000" w:themeColor="text1"/>
          <w:sz w:val="24"/>
          <w:szCs w:val="24"/>
          <w:lang w:val="en-US"/>
        </w:rPr>
        <w:t xml:space="preserve">akarta </w:t>
      </w:r>
      <w:r w:rsidR="0037326C" w:rsidRPr="00CB216A">
        <w:rPr>
          <w:rFonts w:ascii="Times New Roman" w:hAnsi="Times New Roman" w:cs="Times New Roman"/>
          <w:color w:val="000000" w:themeColor="text1"/>
          <w:sz w:val="24"/>
          <w:szCs w:val="24"/>
          <w:lang w:val="en-US"/>
        </w:rPr>
        <w:t>I</w:t>
      </w:r>
      <w:r w:rsidRPr="00CB216A">
        <w:rPr>
          <w:rFonts w:ascii="Times New Roman" w:hAnsi="Times New Roman" w:cs="Times New Roman"/>
          <w:color w:val="000000" w:themeColor="text1"/>
          <w:sz w:val="24"/>
          <w:szCs w:val="24"/>
          <w:lang w:val="en-US"/>
        </w:rPr>
        <w:t xml:space="preserve">slamic index. </w:t>
      </w:r>
      <w:r w:rsidRPr="00CB216A">
        <w:rPr>
          <w:rFonts w:ascii="Times New Roman" w:hAnsi="Times New Roman" w:cs="Times New Roman"/>
          <w:i/>
          <w:color w:val="000000" w:themeColor="text1"/>
          <w:sz w:val="24"/>
          <w:szCs w:val="24"/>
          <w:lang w:val="en-US"/>
        </w:rPr>
        <w:t>Jurnal Manajemen dan Bisnis</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3</w:t>
      </w:r>
      <w:r w:rsidRPr="00CB216A">
        <w:rPr>
          <w:rFonts w:ascii="Times New Roman" w:hAnsi="Times New Roman" w:cs="Times New Roman"/>
          <w:color w:val="000000" w:themeColor="text1"/>
          <w:sz w:val="24"/>
          <w:szCs w:val="24"/>
          <w:lang w:val="en-US"/>
        </w:rPr>
        <w:t>(2), 115-134.</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Hawu, S. A.,  &amp; Lailatul, A. (2016). Pengaruh variabel keuangan dan variabel industri terhadap return saham syariah. </w:t>
      </w:r>
      <w:r w:rsidRPr="00CB216A">
        <w:rPr>
          <w:rFonts w:ascii="Times New Roman" w:hAnsi="Times New Roman" w:cs="Times New Roman"/>
          <w:i/>
          <w:color w:val="000000" w:themeColor="text1"/>
          <w:sz w:val="24"/>
          <w:szCs w:val="24"/>
          <w:lang w:val="en-US"/>
        </w:rPr>
        <w:t>Jurnal Ilmu dan Riset Akun</w:t>
      </w:r>
      <w:r w:rsidRPr="00CB216A">
        <w:rPr>
          <w:rFonts w:ascii="Times New Roman" w:hAnsi="Times New Roman" w:cs="Times New Roman"/>
          <w:i/>
          <w:color w:val="000000" w:themeColor="text1"/>
          <w:sz w:val="24"/>
          <w:szCs w:val="24"/>
          <w:lang w:val="en-US"/>
        </w:rPr>
        <w:t>tansi</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5</w:t>
      </w:r>
      <w:r w:rsidRPr="00CB216A">
        <w:rPr>
          <w:rFonts w:ascii="Times New Roman" w:hAnsi="Times New Roman" w:cs="Times New Roman"/>
          <w:color w:val="000000" w:themeColor="text1"/>
          <w:sz w:val="24"/>
          <w:szCs w:val="24"/>
          <w:lang w:val="en-US"/>
        </w:rPr>
        <w:t>(2), 1-20.</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lastRenderedPageBreak/>
        <w:t xml:space="preserve">Huda, N., &amp; Nasution, M. E. (2008). </w:t>
      </w:r>
      <w:r w:rsidRPr="00CB216A">
        <w:rPr>
          <w:rFonts w:ascii="Times New Roman" w:hAnsi="Times New Roman" w:cs="Times New Roman"/>
          <w:i/>
          <w:color w:val="000000" w:themeColor="text1"/>
          <w:sz w:val="24"/>
          <w:szCs w:val="24"/>
          <w:lang w:val="en-US"/>
        </w:rPr>
        <w:t xml:space="preserve">Investasi pada </w:t>
      </w:r>
      <w:r w:rsidR="0037326C" w:rsidRPr="00CB216A">
        <w:rPr>
          <w:rFonts w:ascii="Times New Roman" w:hAnsi="Times New Roman" w:cs="Times New Roman"/>
          <w:i/>
          <w:color w:val="000000" w:themeColor="text1"/>
          <w:sz w:val="24"/>
          <w:szCs w:val="24"/>
          <w:lang w:val="en-US"/>
        </w:rPr>
        <w:t>Pasar Modal S</w:t>
      </w:r>
      <w:r w:rsidRPr="00CB216A">
        <w:rPr>
          <w:rFonts w:ascii="Times New Roman" w:hAnsi="Times New Roman" w:cs="Times New Roman"/>
          <w:i/>
          <w:color w:val="000000" w:themeColor="text1"/>
          <w:sz w:val="24"/>
          <w:szCs w:val="24"/>
          <w:lang w:val="en-US"/>
        </w:rPr>
        <w:t xml:space="preserve">yariah. </w:t>
      </w:r>
      <w:r w:rsidRPr="00CB216A">
        <w:rPr>
          <w:rFonts w:ascii="Times New Roman" w:hAnsi="Times New Roman" w:cs="Times New Roman"/>
          <w:color w:val="000000" w:themeColor="text1"/>
          <w:sz w:val="24"/>
          <w:szCs w:val="24"/>
          <w:lang w:val="en-US"/>
        </w:rPr>
        <w:t>Jakarta: Kencana.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Juanda, B., &amp; Junaidi, J. (2012). </w:t>
      </w:r>
      <w:r w:rsidRPr="00CB216A">
        <w:rPr>
          <w:rFonts w:ascii="Times New Roman" w:hAnsi="Times New Roman" w:cs="Times New Roman"/>
          <w:i/>
          <w:color w:val="000000" w:themeColor="text1"/>
          <w:sz w:val="24"/>
          <w:szCs w:val="24"/>
          <w:lang w:val="en-US"/>
        </w:rPr>
        <w:t xml:space="preserve">Ekonometrika </w:t>
      </w:r>
      <w:r w:rsidR="0037326C" w:rsidRPr="00CB216A">
        <w:rPr>
          <w:rFonts w:ascii="Times New Roman" w:hAnsi="Times New Roman" w:cs="Times New Roman"/>
          <w:i/>
          <w:color w:val="000000" w:themeColor="text1"/>
          <w:sz w:val="24"/>
          <w:szCs w:val="24"/>
          <w:lang w:val="en-US"/>
        </w:rPr>
        <w:t>D</w:t>
      </w:r>
      <w:r w:rsidRPr="00CB216A">
        <w:rPr>
          <w:rFonts w:ascii="Times New Roman" w:hAnsi="Times New Roman" w:cs="Times New Roman"/>
          <w:i/>
          <w:color w:val="000000" w:themeColor="text1"/>
          <w:sz w:val="24"/>
          <w:szCs w:val="24"/>
          <w:lang w:val="en-US"/>
        </w:rPr>
        <w:t xml:space="preserve">eret dan </w:t>
      </w:r>
      <w:r w:rsidR="0037326C" w:rsidRPr="00CB216A">
        <w:rPr>
          <w:rFonts w:ascii="Times New Roman" w:hAnsi="Times New Roman" w:cs="Times New Roman"/>
          <w:i/>
          <w:color w:val="000000" w:themeColor="text1"/>
          <w:sz w:val="24"/>
          <w:szCs w:val="24"/>
          <w:lang w:val="en-US"/>
        </w:rPr>
        <w:t>W</w:t>
      </w:r>
      <w:r w:rsidRPr="00CB216A">
        <w:rPr>
          <w:rFonts w:ascii="Times New Roman" w:hAnsi="Times New Roman" w:cs="Times New Roman"/>
          <w:i/>
          <w:color w:val="000000" w:themeColor="text1"/>
          <w:sz w:val="24"/>
          <w:szCs w:val="24"/>
          <w:lang w:val="en-US"/>
        </w:rPr>
        <w:t>aktu</w:t>
      </w:r>
      <w:r w:rsidRPr="00CB216A">
        <w:rPr>
          <w:rFonts w:ascii="Times New Roman" w:hAnsi="Times New Roman" w:cs="Times New Roman"/>
          <w:color w:val="000000" w:themeColor="text1"/>
          <w:sz w:val="24"/>
          <w:szCs w:val="24"/>
          <w:lang w:val="en-US"/>
        </w:rPr>
        <w:t>. Bogor:</w:t>
      </w:r>
      <w:r w:rsidR="0037326C"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IPB Press.</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Jumingan, J. (2006). </w:t>
      </w:r>
      <w:r w:rsidRPr="00CB216A">
        <w:rPr>
          <w:rFonts w:ascii="Times New Roman" w:hAnsi="Times New Roman" w:cs="Times New Roman"/>
          <w:i/>
          <w:color w:val="000000" w:themeColor="text1"/>
          <w:sz w:val="24"/>
          <w:szCs w:val="24"/>
          <w:lang w:val="en-US"/>
        </w:rPr>
        <w:t xml:space="preserve">Analisis </w:t>
      </w:r>
      <w:r w:rsidR="0037326C" w:rsidRPr="00CB216A">
        <w:rPr>
          <w:rFonts w:ascii="Times New Roman" w:hAnsi="Times New Roman" w:cs="Times New Roman"/>
          <w:i/>
          <w:color w:val="000000" w:themeColor="text1"/>
          <w:sz w:val="24"/>
          <w:szCs w:val="24"/>
          <w:lang w:val="en-US"/>
        </w:rPr>
        <w:t>L</w:t>
      </w:r>
      <w:r w:rsidRPr="00CB216A">
        <w:rPr>
          <w:rFonts w:ascii="Times New Roman" w:hAnsi="Times New Roman" w:cs="Times New Roman"/>
          <w:i/>
          <w:color w:val="000000" w:themeColor="text1"/>
          <w:sz w:val="24"/>
          <w:szCs w:val="24"/>
          <w:lang w:val="en-US"/>
        </w:rPr>
        <w:t xml:space="preserve">aporan </w:t>
      </w:r>
      <w:r w:rsidR="0037326C" w:rsidRPr="00CB216A">
        <w:rPr>
          <w:rFonts w:ascii="Times New Roman" w:hAnsi="Times New Roman" w:cs="Times New Roman"/>
          <w:i/>
          <w:color w:val="000000" w:themeColor="text1"/>
          <w:sz w:val="24"/>
          <w:szCs w:val="24"/>
          <w:lang w:val="en-US"/>
        </w:rPr>
        <w:t>K</w:t>
      </w:r>
      <w:r w:rsidRPr="00CB216A">
        <w:rPr>
          <w:rFonts w:ascii="Times New Roman" w:hAnsi="Times New Roman" w:cs="Times New Roman"/>
          <w:i/>
          <w:color w:val="000000" w:themeColor="text1"/>
          <w:sz w:val="24"/>
          <w:szCs w:val="24"/>
          <w:lang w:val="en-US"/>
        </w:rPr>
        <w:t>euangan</w:t>
      </w:r>
      <w:r w:rsidRPr="00CB216A">
        <w:rPr>
          <w:rFonts w:ascii="Times New Roman" w:hAnsi="Times New Roman" w:cs="Times New Roman"/>
          <w:color w:val="000000" w:themeColor="text1"/>
          <w:sz w:val="24"/>
          <w:szCs w:val="24"/>
          <w:lang w:val="en-US"/>
        </w:rPr>
        <w:t xml:space="preserve">. Surakarta: </w:t>
      </w:r>
      <w:r w:rsidRPr="00CB216A">
        <w:rPr>
          <w:rFonts w:ascii="Times New Roman" w:hAnsi="Times New Roman" w:cs="Times New Roman"/>
          <w:color w:val="000000" w:themeColor="text1"/>
          <w:sz w:val="24"/>
          <w:szCs w:val="24"/>
          <w:lang w:val="en-US"/>
        </w:rPr>
        <w:t>Surakarta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Kasmir, K. (2008). </w:t>
      </w:r>
      <w:r w:rsidRPr="00CB216A">
        <w:rPr>
          <w:rFonts w:ascii="Times New Roman" w:hAnsi="Times New Roman" w:cs="Times New Roman"/>
          <w:i/>
          <w:color w:val="000000" w:themeColor="text1"/>
          <w:sz w:val="24"/>
          <w:szCs w:val="24"/>
          <w:lang w:val="en-US"/>
        </w:rPr>
        <w:t xml:space="preserve">Analisis </w:t>
      </w:r>
      <w:r w:rsidR="0037326C" w:rsidRPr="00CB216A">
        <w:rPr>
          <w:rFonts w:ascii="Times New Roman" w:hAnsi="Times New Roman" w:cs="Times New Roman"/>
          <w:i/>
          <w:color w:val="000000" w:themeColor="text1"/>
          <w:sz w:val="24"/>
          <w:szCs w:val="24"/>
          <w:lang w:val="en-US"/>
        </w:rPr>
        <w:t>L</w:t>
      </w:r>
      <w:r w:rsidRPr="00CB216A">
        <w:rPr>
          <w:rFonts w:ascii="Times New Roman" w:hAnsi="Times New Roman" w:cs="Times New Roman"/>
          <w:i/>
          <w:color w:val="000000" w:themeColor="text1"/>
          <w:sz w:val="24"/>
          <w:szCs w:val="24"/>
          <w:lang w:val="en-US"/>
        </w:rPr>
        <w:t xml:space="preserve">aporan </w:t>
      </w:r>
      <w:r w:rsidR="0037326C" w:rsidRPr="00CB216A">
        <w:rPr>
          <w:rFonts w:ascii="Times New Roman" w:hAnsi="Times New Roman" w:cs="Times New Roman"/>
          <w:i/>
          <w:color w:val="000000" w:themeColor="text1"/>
          <w:sz w:val="24"/>
          <w:szCs w:val="24"/>
          <w:lang w:val="en-US"/>
        </w:rPr>
        <w:t>K</w:t>
      </w:r>
      <w:r w:rsidRPr="00CB216A">
        <w:rPr>
          <w:rFonts w:ascii="Times New Roman" w:hAnsi="Times New Roman" w:cs="Times New Roman"/>
          <w:i/>
          <w:color w:val="000000" w:themeColor="text1"/>
          <w:sz w:val="24"/>
          <w:szCs w:val="24"/>
          <w:lang w:val="en-US"/>
        </w:rPr>
        <w:t>euangan</w:t>
      </w:r>
      <w:r w:rsidRPr="00CB216A">
        <w:rPr>
          <w:rFonts w:ascii="Times New Roman" w:hAnsi="Times New Roman" w:cs="Times New Roman"/>
          <w:color w:val="000000" w:themeColor="text1"/>
          <w:sz w:val="24"/>
          <w:szCs w:val="24"/>
          <w:lang w:val="en-US"/>
        </w:rPr>
        <w:t>. Jakarta: PT. RajaGrafindo Persada.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sz w:val="24"/>
          <w:szCs w:val="24"/>
          <w:shd w:val="clear" w:color="auto" w:fill="FFFFFF"/>
          <w:lang w:val="en-US"/>
        </w:rPr>
      </w:pPr>
      <w:r w:rsidRPr="00CB216A">
        <w:rPr>
          <w:rFonts w:ascii="Times New Roman" w:hAnsi="Times New Roman" w:cs="Times New Roman"/>
          <w:sz w:val="24"/>
          <w:szCs w:val="24"/>
          <w:shd w:val="clear" w:color="auto" w:fill="FFFFFF"/>
          <w:lang w:val="en-US"/>
        </w:rPr>
        <w:t>Kasmon, D., Basri, H., &amp; Majid, M. S. A. (2016). Pengaruh kepemilikan manajerial, kepemilikan institusional, arus kas bebas, dan leverage keuangan terhadap pembayara</w:t>
      </w:r>
      <w:r w:rsidRPr="00CB216A">
        <w:rPr>
          <w:rFonts w:ascii="Times New Roman" w:hAnsi="Times New Roman" w:cs="Times New Roman"/>
          <w:sz w:val="24"/>
          <w:szCs w:val="24"/>
          <w:shd w:val="clear" w:color="auto" w:fill="FFFFFF"/>
          <w:lang w:val="en-US"/>
        </w:rPr>
        <w:t>n dividen tunai pada saham-saham Blue Chip (LQ 45) pada Bursa Efek Indonesia tahun 2009-2013. </w:t>
      </w:r>
      <w:r w:rsidRPr="00CB216A">
        <w:rPr>
          <w:rFonts w:ascii="Times New Roman" w:hAnsi="Times New Roman" w:cs="Times New Roman"/>
          <w:i/>
          <w:iCs/>
          <w:sz w:val="24"/>
          <w:szCs w:val="24"/>
          <w:shd w:val="clear" w:color="auto" w:fill="FFFFFF"/>
          <w:lang w:val="en-US"/>
        </w:rPr>
        <w:t>Jurnal Magister  Akuntansi: Program Pascasarjana Unsyiah</w:t>
      </w:r>
      <w:r w:rsidRPr="00CB216A">
        <w:rPr>
          <w:rFonts w:ascii="Times New Roman" w:hAnsi="Times New Roman" w:cs="Times New Roman"/>
          <w:sz w:val="24"/>
          <w:szCs w:val="24"/>
          <w:shd w:val="clear" w:color="auto" w:fill="FFFFFF"/>
          <w:lang w:val="en-US"/>
        </w:rPr>
        <w:t>, </w:t>
      </w:r>
      <w:r w:rsidRPr="00CB216A">
        <w:rPr>
          <w:rFonts w:ascii="Times New Roman" w:hAnsi="Times New Roman" w:cs="Times New Roman"/>
          <w:i/>
          <w:iCs/>
          <w:sz w:val="24"/>
          <w:szCs w:val="24"/>
          <w:shd w:val="clear" w:color="auto" w:fill="FFFFFF"/>
          <w:lang w:val="en-US"/>
        </w:rPr>
        <w:t>5</w:t>
      </w:r>
      <w:r w:rsidRPr="00CB216A">
        <w:rPr>
          <w:rFonts w:ascii="Times New Roman" w:hAnsi="Times New Roman" w:cs="Times New Roman"/>
          <w:sz w:val="24"/>
          <w:szCs w:val="24"/>
          <w:shd w:val="clear" w:color="auto" w:fill="FFFFFF"/>
          <w:lang w:val="en-US"/>
        </w:rPr>
        <w:t>(1), 68-78.</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Katchova A.l. &amp; Enlow, S. J. Financial performance of publicly-traded agribusinesses. </w:t>
      </w:r>
      <w:r w:rsidRPr="00CB216A">
        <w:rPr>
          <w:rFonts w:ascii="Times New Roman" w:hAnsi="Times New Roman" w:cs="Times New Roman"/>
          <w:i/>
          <w:color w:val="000000" w:themeColor="text1"/>
          <w:sz w:val="24"/>
          <w:szCs w:val="24"/>
          <w:lang w:val="en-US"/>
        </w:rPr>
        <w:t>Agricultural Finance Review</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73</w:t>
      </w:r>
      <w:r w:rsidRPr="00CB216A">
        <w:rPr>
          <w:rFonts w:ascii="Times New Roman" w:hAnsi="Times New Roman" w:cs="Times New Roman"/>
          <w:color w:val="000000" w:themeColor="text1"/>
          <w:sz w:val="24"/>
          <w:szCs w:val="24"/>
          <w:lang w:val="en-US"/>
        </w:rPr>
        <w:t>(1), 58-73.</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sz w:val="24"/>
          <w:szCs w:val="24"/>
          <w:shd w:val="clear" w:color="auto" w:fill="FFFFFF"/>
          <w:lang w:val="en-US"/>
        </w:rPr>
      </w:pPr>
      <w:r w:rsidRPr="00CB216A">
        <w:rPr>
          <w:rFonts w:ascii="Times New Roman" w:hAnsi="Times New Roman" w:cs="Times New Roman"/>
          <w:sz w:val="24"/>
          <w:szCs w:val="24"/>
          <w:shd w:val="clear" w:color="auto" w:fill="FFFFFF"/>
          <w:lang w:val="en-US"/>
        </w:rPr>
        <w:t>Majid, M. S. A. (2016). Dynamic interactions between the Islamic stock prices and macroeconomic variables: evidence from Malaysia. </w:t>
      </w:r>
      <w:r w:rsidRPr="00CB216A">
        <w:rPr>
          <w:rFonts w:ascii="Times New Roman" w:hAnsi="Times New Roman" w:cs="Times New Roman"/>
          <w:i/>
          <w:iCs/>
          <w:sz w:val="24"/>
          <w:szCs w:val="24"/>
          <w:shd w:val="clear" w:color="auto" w:fill="FFFFFF"/>
          <w:lang w:val="en-US"/>
        </w:rPr>
        <w:t>DLSU Business &amp; Economics Review</w:t>
      </w:r>
      <w:r w:rsidRPr="00CB216A">
        <w:rPr>
          <w:rFonts w:ascii="Times New Roman" w:hAnsi="Times New Roman" w:cs="Times New Roman"/>
          <w:sz w:val="24"/>
          <w:szCs w:val="24"/>
          <w:shd w:val="clear" w:color="auto" w:fill="FFFFFF"/>
          <w:lang w:val="en-US"/>
        </w:rPr>
        <w:t>, </w:t>
      </w:r>
      <w:r w:rsidRPr="00CB216A">
        <w:rPr>
          <w:rFonts w:ascii="Times New Roman" w:hAnsi="Times New Roman" w:cs="Times New Roman"/>
          <w:i/>
          <w:iCs/>
          <w:sz w:val="24"/>
          <w:szCs w:val="24"/>
          <w:shd w:val="clear" w:color="auto" w:fill="FFFFFF"/>
          <w:lang w:val="en-US"/>
        </w:rPr>
        <w:t>26</w:t>
      </w:r>
      <w:r w:rsidRPr="00CB216A">
        <w:rPr>
          <w:rFonts w:ascii="Times New Roman" w:hAnsi="Times New Roman" w:cs="Times New Roman"/>
          <w:sz w:val="24"/>
          <w:szCs w:val="24"/>
          <w:shd w:val="clear" w:color="auto" w:fill="FFFFFF"/>
          <w:lang w:val="en-US"/>
        </w:rPr>
        <w:t>(1), 92-100.</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sz w:val="24"/>
          <w:szCs w:val="24"/>
          <w:shd w:val="clear" w:color="auto" w:fill="FFFFFF"/>
          <w:lang w:val="en-US"/>
        </w:rPr>
      </w:pPr>
      <w:r w:rsidRPr="00CB216A">
        <w:rPr>
          <w:rFonts w:ascii="Times New Roman" w:hAnsi="Times New Roman" w:cs="Times New Roman"/>
          <w:sz w:val="24"/>
          <w:szCs w:val="24"/>
          <w:shd w:val="clear" w:color="auto" w:fill="FFFFFF"/>
          <w:lang w:val="en-US"/>
        </w:rPr>
        <w:t>Majid, M. S. A. (2018). Assessing</w:t>
      </w:r>
      <w:r w:rsidRPr="00CB216A">
        <w:rPr>
          <w:rFonts w:ascii="Times New Roman" w:hAnsi="Times New Roman" w:cs="Times New Roman"/>
          <w:sz w:val="24"/>
          <w:szCs w:val="24"/>
          <w:shd w:val="clear" w:color="auto" w:fill="FFFFFF"/>
          <w:lang w:val="en-US"/>
        </w:rPr>
        <w:t xml:space="preserve"> volatilities of monetary policy and their effects on the Islamic and conventional stock markets in Indonesia. </w:t>
      </w:r>
      <w:r w:rsidRPr="00CB216A">
        <w:rPr>
          <w:rFonts w:ascii="Times New Roman" w:hAnsi="Times New Roman" w:cs="Times New Roman"/>
          <w:i/>
          <w:iCs/>
          <w:sz w:val="24"/>
          <w:szCs w:val="24"/>
          <w:shd w:val="clear" w:color="auto" w:fill="FFFFFF"/>
          <w:lang w:val="en-US"/>
        </w:rPr>
        <w:t>Signifikan: Jurnal Ilmu Ekonomi</w:t>
      </w:r>
      <w:r w:rsidRPr="00CB216A">
        <w:rPr>
          <w:rFonts w:ascii="Times New Roman" w:hAnsi="Times New Roman" w:cs="Times New Roman"/>
          <w:sz w:val="24"/>
          <w:szCs w:val="24"/>
          <w:shd w:val="clear" w:color="auto" w:fill="FFFFFF"/>
          <w:lang w:val="en-US"/>
        </w:rPr>
        <w:t>, </w:t>
      </w:r>
      <w:r w:rsidRPr="00CB216A">
        <w:rPr>
          <w:rFonts w:ascii="Times New Roman" w:hAnsi="Times New Roman" w:cs="Times New Roman"/>
          <w:i/>
          <w:iCs/>
          <w:sz w:val="24"/>
          <w:szCs w:val="24"/>
          <w:shd w:val="clear" w:color="auto" w:fill="FFFFFF"/>
          <w:lang w:val="en-US"/>
        </w:rPr>
        <w:t>7</w:t>
      </w:r>
      <w:r w:rsidRPr="00CB216A">
        <w:rPr>
          <w:rFonts w:ascii="Times New Roman" w:hAnsi="Times New Roman" w:cs="Times New Roman"/>
          <w:sz w:val="24"/>
          <w:szCs w:val="24"/>
          <w:shd w:val="clear" w:color="auto" w:fill="FFFFFF"/>
          <w:lang w:val="en-US"/>
        </w:rPr>
        <w:t>(2), 161-172.</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222222"/>
          <w:sz w:val="24"/>
          <w:szCs w:val="24"/>
          <w:shd w:val="clear" w:color="auto" w:fill="FFFFFF"/>
          <w:lang w:val="en-US"/>
        </w:rPr>
      </w:pPr>
      <w:r w:rsidRPr="00CB216A">
        <w:rPr>
          <w:rFonts w:ascii="Times New Roman" w:hAnsi="Times New Roman" w:cs="Times New Roman"/>
          <w:color w:val="222222"/>
          <w:sz w:val="24"/>
          <w:szCs w:val="24"/>
          <w:shd w:val="clear" w:color="auto" w:fill="FFFFFF"/>
          <w:lang w:val="en-US"/>
        </w:rPr>
        <w:t>Majid, M. S. A., &amp; Benazir. (2015). An indirect impact of the price to book value to the stock re</w:t>
      </w:r>
      <w:r w:rsidRPr="00CB216A">
        <w:rPr>
          <w:rFonts w:ascii="Times New Roman" w:hAnsi="Times New Roman" w:cs="Times New Roman"/>
          <w:color w:val="222222"/>
          <w:sz w:val="24"/>
          <w:szCs w:val="24"/>
          <w:shd w:val="clear" w:color="auto" w:fill="FFFFFF"/>
          <w:lang w:val="en-US"/>
        </w:rPr>
        <w:t>turns: An empirical evidence from the property companies in Indonesia. </w:t>
      </w:r>
      <w:r w:rsidRPr="00CB216A">
        <w:rPr>
          <w:rFonts w:ascii="Times New Roman" w:hAnsi="Times New Roman" w:cs="Times New Roman"/>
          <w:i/>
          <w:iCs/>
          <w:color w:val="222222"/>
          <w:sz w:val="24"/>
          <w:szCs w:val="24"/>
          <w:shd w:val="clear" w:color="auto" w:fill="FFFFFF"/>
          <w:lang w:val="en-US"/>
        </w:rPr>
        <w:t>Jurnal Akuntansi dan Keuangan</w:t>
      </w:r>
      <w:r w:rsidRPr="00CB216A">
        <w:rPr>
          <w:rFonts w:ascii="Times New Roman" w:hAnsi="Times New Roman" w:cs="Times New Roman"/>
          <w:color w:val="222222"/>
          <w:sz w:val="24"/>
          <w:szCs w:val="24"/>
          <w:shd w:val="clear" w:color="auto" w:fill="FFFFFF"/>
          <w:lang w:val="en-US"/>
        </w:rPr>
        <w:t>, </w:t>
      </w:r>
      <w:r w:rsidRPr="00CB216A">
        <w:rPr>
          <w:rFonts w:ascii="Times New Roman" w:hAnsi="Times New Roman" w:cs="Times New Roman"/>
          <w:i/>
          <w:iCs/>
          <w:color w:val="222222"/>
          <w:sz w:val="24"/>
          <w:szCs w:val="24"/>
          <w:shd w:val="clear" w:color="auto" w:fill="FFFFFF"/>
          <w:lang w:val="en-US"/>
        </w:rPr>
        <w:t>17</w:t>
      </w:r>
      <w:r w:rsidRPr="00CB216A">
        <w:rPr>
          <w:rFonts w:ascii="Times New Roman" w:hAnsi="Times New Roman" w:cs="Times New Roman"/>
          <w:color w:val="222222"/>
          <w:sz w:val="24"/>
          <w:szCs w:val="24"/>
          <w:shd w:val="clear" w:color="auto" w:fill="FFFFFF"/>
          <w:lang w:val="en-US"/>
        </w:rPr>
        <w:t>(2), 91-96.</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sz w:val="24"/>
          <w:szCs w:val="24"/>
          <w:lang w:val="en-US"/>
        </w:rPr>
      </w:pPr>
      <w:r w:rsidRPr="00CB216A">
        <w:rPr>
          <w:rFonts w:ascii="Times New Roman" w:hAnsi="Times New Roman" w:cs="Times New Roman"/>
          <w:color w:val="222222"/>
          <w:sz w:val="24"/>
          <w:szCs w:val="24"/>
          <w:shd w:val="clear" w:color="auto" w:fill="FFFFFF"/>
          <w:lang w:val="en-US"/>
        </w:rPr>
        <w:t xml:space="preserve">Majid, M. S. A., &amp; Maulana, H. (2012). A comparative analysis of the productivity of Islamic and conventional mutual funds in Indonesia: </w:t>
      </w:r>
      <w:r w:rsidRPr="00CB216A">
        <w:rPr>
          <w:rFonts w:ascii="Times New Roman" w:hAnsi="Times New Roman" w:cs="Times New Roman"/>
          <w:color w:val="222222"/>
          <w:sz w:val="24"/>
          <w:szCs w:val="24"/>
          <w:shd w:val="clear" w:color="auto" w:fill="FFFFFF"/>
          <w:lang w:val="en-US"/>
        </w:rPr>
        <w:t>Data envelopment analysis (DEA) and general least square (GLS) Approaches. </w:t>
      </w:r>
      <w:r w:rsidRPr="00CB216A">
        <w:rPr>
          <w:rFonts w:ascii="Times New Roman" w:hAnsi="Times New Roman" w:cs="Times New Roman"/>
          <w:i/>
          <w:iCs/>
          <w:color w:val="222222"/>
          <w:sz w:val="24"/>
          <w:szCs w:val="24"/>
          <w:shd w:val="clear" w:color="auto" w:fill="FFFFFF"/>
          <w:lang w:val="en-US"/>
        </w:rPr>
        <w:t>Gadjah Mada International Journal of Business</w:t>
      </w:r>
      <w:r w:rsidRPr="00CB216A">
        <w:rPr>
          <w:rFonts w:ascii="Times New Roman" w:hAnsi="Times New Roman" w:cs="Times New Roman"/>
          <w:color w:val="222222"/>
          <w:sz w:val="24"/>
          <w:szCs w:val="24"/>
          <w:shd w:val="clear" w:color="auto" w:fill="FFFFFF"/>
          <w:lang w:val="en-US"/>
        </w:rPr>
        <w:t>, </w:t>
      </w:r>
      <w:r w:rsidRPr="00CB216A">
        <w:rPr>
          <w:rFonts w:ascii="Times New Roman" w:hAnsi="Times New Roman" w:cs="Times New Roman"/>
          <w:i/>
          <w:iCs/>
          <w:color w:val="222222"/>
          <w:sz w:val="24"/>
          <w:szCs w:val="24"/>
          <w:shd w:val="clear" w:color="auto" w:fill="FFFFFF"/>
          <w:lang w:val="en-US"/>
        </w:rPr>
        <w:t>14</w:t>
      </w:r>
      <w:r w:rsidRPr="00CB216A">
        <w:rPr>
          <w:rFonts w:ascii="Times New Roman" w:hAnsi="Times New Roman" w:cs="Times New Roman"/>
          <w:color w:val="222222"/>
          <w:sz w:val="24"/>
          <w:szCs w:val="24"/>
          <w:shd w:val="clear" w:color="auto" w:fill="FFFFFF"/>
          <w:lang w:val="en-US"/>
        </w:rPr>
        <w:t>(2), 183-208.</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 xml:space="preserve">Mariani, N. L. L., Yudiaatmaja, F., &amp; Yulianthini, N. N. (2016). Pengaruh profitabilitas dan leverage terhadap return </w:t>
      </w:r>
      <w:r w:rsidRPr="00CB216A">
        <w:rPr>
          <w:rFonts w:ascii="Times New Roman" w:eastAsia="Times New Roman" w:hAnsi="Times New Roman" w:cs="Times New Roman"/>
          <w:color w:val="000000" w:themeColor="text1"/>
          <w:sz w:val="24"/>
          <w:szCs w:val="24"/>
          <w:lang w:val="en-US" w:eastAsia="id-ID"/>
        </w:rPr>
        <w:t xml:space="preserve">saham. </w:t>
      </w:r>
      <w:r w:rsidRPr="00CB216A">
        <w:rPr>
          <w:rFonts w:ascii="Times New Roman" w:eastAsia="Times New Roman" w:hAnsi="Times New Roman" w:cs="Times New Roman"/>
          <w:i/>
          <w:color w:val="000000" w:themeColor="text1"/>
          <w:sz w:val="24"/>
          <w:szCs w:val="24"/>
          <w:lang w:val="en-US" w:eastAsia="id-ID"/>
        </w:rPr>
        <w:t>E-Jurnal Bisma Universitas Pendidikan Ganesha, 4</w:t>
      </w:r>
      <w:r w:rsidRPr="00CB216A">
        <w:rPr>
          <w:rFonts w:ascii="Times New Roman" w:eastAsia="Times New Roman" w:hAnsi="Times New Roman" w:cs="Times New Roman"/>
          <w:color w:val="000000" w:themeColor="text1"/>
          <w:sz w:val="24"/>
          <w:szCs w:val="24"/>
          <w:lang w:val="en-US" w:eastAsia="id-ID"/>
        </w:rPr>
        <w:t>(1), 1-10.</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 xml:space="preserve">Mayfi, F., &amp; Rudianto, D. (2014). Analisis faktor internal dan eksternal perusahaan terhadap return saham. </w:t>
      </w:r>
      <w:r w:rsidRPr="00CB216A">
        <w:rPr>
          <w:rFonts w:ascii="Times New Roman" w:eastAsia="Times New Roman" w:hAnsi="Times New Roman" w:cs="Times New Roman"/>
          <w:i/>
          <w:color w:val="000000" w:themeColor="text1"/>
          <w:sz w:val="24"/>
          <w:szCs w:val="24"/>
          <w:lang w:val="en-US" w:eastAsia="id-ID"/>
        </w:rPr>
        <w:t>Jurnal MIX, 4</w:t>
      </w:r>
      <w:r w:rsidRPr="00CB216A">
        <w:rPr>
          <w:rFonts w:ascii="Times New Roman" w:eastAsia="Times New Roman" w:hAnsi="Times New Roman" w:cs="Times New Roman"/>
          <w:color w:val="000000" w:themeColor="text1"/>
          <w:sz w:val="24"/>
          <w:szCs w:val="24"/>
          <w:lang w:val="en-US" w:eastAsia="id-ID"/>
        </w:rPr>
        <w:t xml:space="preserve">(3), 384-362. </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sz w:val="24"/>
          <w:szCs w:val="24"/>
          <w:shd w:val="clear" w:color="auto" w:fill="FFFFFF"/>
          <w:lang w:val="en-US"/>
        </w:rPr>
      </w:pPr>
      <w:r w:rsidRPr="00CB216A">
        <w:rPr>
          <w:rFonts w:ascii="Times New Roman" w:hAnsi="Times New Roman" w:cs="Times New Roman"/>
          <w:sz w:val="24"/>
          <w:szCs w:val="24"/>
          <w:shd w:val="clear" w:color="auto" w:fill="FFFFFF"/>
          <w:lang w:val="en-US"/>
        </w:rPr>
        <w:t>Midesia, S., Basri, H.,</w:t>
      </w:r>
      <w:r w:rsidR="0037326C" w:rsidRPr="00CB216A">
        <w:rPr>
          <w:rFonts w:ascii="Times New Roman" w:hAnsi="Times New Roman" w:cs="Times New Roman"/>
          <w:sz w:val="24"/>
          <w:szCs w:val="24"/>
          <w:shd w:val="clear" w:color="auto" w:fill="FFFFFF"/>
          <w:lang w:val="en-US"/>
        </w:rPr>
        <w:t xml:space="preserve"> &amp; </w:t>
      </w:r>
      <w:r w:rsidRPr="00CB216A">
        <w:rPr>
          <w:rFonts w:ascii="Times New Roman" w:hAnsi="Times New Roman" w:cs="Times New Roman"/>
          <w:sz w:val="24"/>
          <w:szCs w:val="24"/>
          <w:shd w:val="clear" w:color="auto" w:fill="FFFFFF"/>
          <w:lang w:val="en-US"/>
        </w:rPr>
        <w:t xml:space="preserve">Majid, M. S. A. (2016). The </w:t>
      </w:r>
      <w:r w:rsidRPr="00CB216A">
        <w:rPr>
          <w:rFonts w:ascii="Times New Roman" w:hAnsi="Times New Roman" w:cs="Times New Roman"/>
          <w:sz w:val="24"/>
          <w:szCs w:val="24"/>
          <w:shd w:val="clear" w:color="auto" w:fill="FFFFFF"/>
          <w:lang w:val="en-US"/>
        </w:rPr>
        <w:t>effects of asset management and profitability on stock returns: a comparative study between conventional and Islamic stock markets in Indonesia. </w:t>
      </w:r>
      <w:r w:rsidRPr="00CB216A">
        <w:rPr>
          <w:rFonts w:ascii="Times New Roman" w:hAnsi="Times New Roman" w:cs="Times New Roman"/>
          <w:i/>
          <w:iCs/>
          <w:sz w:val="24"/>
          <w:szCs w:val="24"/>
          <w:shd w:val="clear" w:color="auto" w:fill="FFFFFF"/>
          <w:lang w:val="en-US"/>
        </w:rPr>
        <w:t>Academic Journal of Economic Studies</w:t>
      </w:r>
      <w:r w:rsidRPr="00CB216A">
        <w:rPr>
          <w:rFonts w:ascii="Times New Roman" w:hAnsi="Times New Roman" w:cs="Times New Roman"/>
          <w:sz w:val="24"/>
          <w:szCs w:val="24"/>
          <w:shd w:val="clear" w:color="auto" w:fill="FFFFFF"/>
          <w:lang w:val="en-US"/>
        </w:rPr>
        <w:t>, </w:t>
      </w:r>
      <w:r w:rsidRPr="00CB216A">
        <w:rPr>
          <w:rFonts w:ascii="Times New Roman" w:hAnsi="Times New Roman" w:cs="Times New Roman"/>
          <w:i/>
          <w:iCs/>
          <w:sz w:val="24"/>
          <w:szCs w:val="24"/>
          <w:shd w:val="clear" w:color="auto" w:fill="FFFFFF"/>
          <w:lang w:val="en-US"/>
        </w:rPr>
        <w:t>2</w:t>
      </w:r>
      <w:r w:rsidRPr="00CB216A">
        <w:rPr>
          <w:rFonts w:ascii="Times New Roman" w:hAnsi="Times New Roman" w:cs="Times New Roman"/>
          <w:sz w:val="24"/>
          <w:szCs w:val="24"/>
          <w:shd w:val="clear" w:color="auto" w:fill="FFFFFF"/>
          <w:lang w:val="en-US"/>
        </w:rPr>
        <w:t>(3), 44-54.</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sz w:val="24"/>
          <w:szCs w:val="24"/>
          <w:lang w:val="en-US" w:eastAsia="id-ID"/>
        </w:rPr>
      </w:pPr>
      <w:r w:rsidRPr="00CB216A">
        <w:rPr>
          <w:rFonts w:ascii="Times New Roman" w:hAnsi="Times New Roman" w:cs="Times New Roman"/>
          <w:color w:val="000000" w:themeColor="text1"/>
          <w:sz w:val="24"/>
          <w:szCs w:val="24"/>
          <w:lang w:val="en-US"/>
        </w:rPr>
        <w:lastRenderedPageBreak/>
        <w:t>Nandani, I. G. A. I., &amp; Surdjani, L. K. (2017). Pengaruh lik</w:t>
      </w:r>
      <w:r w:rsidRPr="00CB216A">
        <w:rPr>
          <w:rFonts w:ascii="Times New Roman" w:hAnsi="Times New Roman" w:cs="Times New Roman"/>
          <w:color w:val="000000" w:themeColor="text1"/>
          <w:sz w:val="24"/>
          <w:szCs w:val="24"/>
          <w:lang w:val="en-US"/>
        </w:rPr>
        <w:t xml:space="preserve">uiditas, profitabilitas dan nilai pasar terhadap return saham perusahaan F dan B di BEI. </w:t>
      </w:r>
      <w:r w:rsidR="0037326C" w:rsidRPr="00CB216A">
        <w:rPr>
          <w:rFonts w:ascii="Times New Roman" w:eastAsia="Times New Roman" w:hAnsi="Times New Roman" w:cs="Times New Roman"/>
          <w:i/>
          <w:color w:val="000000" w:themeColor="text1"/>
          <w:sz w:val="24"/>
          <w:szCs w:val="24"/>
          <w:lang w:val="en-US" w:eastAsia="id-ID"/>
        </w:rPr>
        <w:t>E-Jurnal Manajemen</w:t>
      </w:r>
      <w:r w:rsidRPr="00CB216A">
        <w:rPr>
          <w:rFonts w:ascii="Times New Roman" w:eastAsia="Times New Roman" w:hAnsi="Times New Roman" w:cs="Times New Roman"/>
          <w:color w:val="000000" w:themeColor="text1"/>
          <w:sz w:val="24"/>
          <w:szCs w:val="24"/>
          <w:lang w:val="en-US" w:eastAsia="id-ID"/>
        </w:rPr>
        <w:t xml:space="preserve">, </w:t>
      </w:r>
      <w:r w:rsidRPr="00CB216A">
        <w:rPr>
          <w:rFonts w:ascii="Times New Roman" w:eastAsia="Times New Roman" w:hAnsi="Times New Roman" w:cs="Times New Roman"/>
          <w:i/>
          <w:color w:val="000000" w:themeColor="text1"/>
          <w:sz w:val="24"/>
          <w:szCs w:val="24"/>
          <w:lang w:val="en-US" w:eastAsia="id-ID"/>
        </w:rPr>
        <w:t>6</w:t>
      </w:r>
      <w:r w:rsidRPr="00CB216A">
        <w:rPr>
          <w:rFonts w:ascii="Times New Roman" w:eastAsia="Times New Roman" w:hAnsi="Times New Roman" w:cs="Times New Roman"/>
          <w:color w:val="000000" w:themeColor="text1"/>
          <w:sz w:val="24"/>
          <w:szCs w:val="24"/>
          <w:lang w:val="en-US" w:eastAsia="id-ID"/>
        </w:rPr>
        <w:t>(8)</w:t>
      </w:r>
      <w:r w:rsidRPr="00CB216A">
        <w:rPr>
          <w:rFonts w:ascii="Times New Roman" w:eastAsia="Times New Roman" w:hAnsi="Times New Roman" w:cs="Times New Roman"/>
          <w:sz w:val="24"/>
          <w:szCs w:val="24"/>
          <w:lang w:val="en-US" w:eastAsia="id-ID"/>
        </w:rPr>
        <w:t>,</w:t>
      </w:r>
      <w:r w:rsidRPr="00CB216A">
        <w:rPr>
          <w:rFonts w:ascii="Times New Roman" w:hAnsi="Times New Roman" w:cs="Times New Roman"/>
          <w:sz w:val="24"/>
          <w:szCs w:val="24"/>
          <w:lang w:val="en-US"/>
        </w:rPr>
        <w:t xml:space="preserve"> 4481-4509</w:t>
      </w:r>
      <w:r w:rsidRPr="00CB216A">
        <w:rPr>
          <w:rFonts w:ascii="Times New Roman" w:eastAsia="Times New Roman" w:hAnsi="Times New Roman" w:cs="Times New Roman"/>
          <w:sz w:val="24"/>
          <w:szCs w:val="24"/>
          <w:lang w:val="en-US" w:eastAsia="id-ID"/>
        </w:rPr>
        <w:t>.</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sz w:val="24"/>
          <w:szCs w:val="24"/>
          <w:lang w:val="en-US" w:eastAsia="id-ID"/>
        </w:rPr>
      </w:pPr>
      <w:r w:rsidRPr="00CB216A">
        <w:rPr>
          <w:rFonts w:ascii="Times New Roman" w:eastAsia="Times New Roman" w:hAnsi="Times New Roman" w:cs="Times New Roman"/>
          <w:sz w:val="24"/>
          <w:szCs w:val="24"/>
          <w:lang w:val="en-US" w:eastAsia="id-ID"/>
        </w:rPr>
        <w:t xml:space="preserve">Nidianti, P. I. (2013). Pengaruh faktor internal dan eksternal perusahaan terhadap return saham food and beverages di BEI. </w:t>
      </w:r>
      <w:r w:rsidRPr="00CB216A">
        <w:rPr>
          <w:rFonts w:ascii="Times New Roman" w:eastAsia="Times New Roman" w:hAnsi="Times New Roman" w:cs="Times New Roman"/>
          <w:i/>
          <w:color w:val="000000" w:themeColor="text1"/>
          <w:sz w:val="24"/>
          <w:szCs w:val="24"/>
          <w:lang w:val="en-US" w:eastAsia="id-ID"/>
        </w:rPr>
        <w:t>E-Jurnal Akuntansi Udayana</w:t>
      </w:r>
      <w:r w:rsidRPr="00CB216A">
        <w:rPr>
          <w:rFonts w:ascii="Times New Roman" w:eastAsia="Times New Roman" w:hAnsi="Times New Roman" w:cs="Times New Roman"/>
          <w:color w:val="000000" w:themeColor="text1"/>
          <w:sz w:val="24"/>
          <w:szCs w:val="24"/>
          <w:lang w:val="en-US" w:eastAsia="id-ID"/>
        </w:rPr>
        <w:t xml:space="preserve">, </w:t>
      </w:r>
      <w:r w:rsidRPr="00CB216A">
        <w:rPr>
          <w:rFonts w:ascii="Times New Roman" w:eastAsia="Times New Roman" w:hAnsi="Times New Roman" w:cs="Times New Roman"/>
          <w:i/>
          <w:color w:val="000000" w:themeColor="text1"/>
          <w:sz w:val="24"/>
          <w:szCs w:val="24"/>
          <w:lang w:val="en-US" w:eastAsia="id-ID"/>
        </w:rPr>
        <w:t>5</w:t>
      </w:r>
      <w:r w:rsidRPr="00CB216A">
        <w:rPr>
          <w:rFonts w:ascii="Times New Roman" w:eastAsia="Times New Roman" w:hAnsi="Times New Roman" w:cs="Times New Roman"/>
          <w:color w:val="000000" w:themeColor="text1"/>
          <w:sz w:val="24"/>
          <w:szCs w:val="24"/>
          <w:lang w:val="en-US" w:eastAsia="id-ID"/>
        </w:rPr>
        <w:t>(1),130-146.</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sz w:val="24"/>
          <w:szCs w:val="24"/>
          <w:lang w:val="en-US" w:eastAsia="id-ID"/>
        </w:rPr>
        <w:t>Parwati, R. R. A. D., &amp; Sudiartha, G. M. (2016). Pengaruh profitabilitas, leverage, likuiditas, dan penilaian pasar terhadap return saham pada perusahaan manufaktur.</w:t>
      </w:r>
      <w:r w:rsidRPr="00CB216A">
        <w:rPr>
          <w:rFonts w:ascii="Times New Roman" w:eastAsia="Times New Roman" w:hAnsi="Times New Roman" w:cs="Times New Roman"/>
          <w:i/>
          <w:color w:val="000000" w:themeColor="text1"/>
          <w:sz w:val="24"/>
          <w:szCs w:val="24"/>
          <w:lang w:val="en-US" w:eastAsia="id-ID"/>
        </w:rPr>
        <w:t xml:space="preserve"> E-Jurnal Manajemen U</w:t>
      </w:r>
      <w:r w:rsidR="0037326C" w:rsidRPr="00CB216A">
        <w:rPr>
          <w:rFonts w:ascii="Times New Roman" w:eastAsia="Times New Roman" w:hAnsi="Times New Roman" w:cs="Times New Roman"/>
          <w:i/>
          <w:color w:val="000000" w:themeColor="text1"/>
          <w:sz w:val="24"/>
          <w:szCs w:val="24"/>
          <w:lang w:val="en-US" w:eastAsia="id-ID"/>
        </w:rPr>
        <w:t>n</w:t>
      </w:r>
      <w:r w:rsidRPr="00CB216A">
        <w:rPr>
          <w:rFonts w:ascii="Times New Roman" w:eastAsia="Times New Roman" w:hAnsi="Times New Roman" w:cs="Times New Roman"/>
          <w:i/>
          <w:color w:val="000000" w:themeColor="text1"/>
          <w:sz w:val="24"/>
          <w:szCs w:val="24"/>
          <w:lang w:val="en-US" w:eastAsia="id-ID"/>
        </w:rPr>
        <w:t>ud</w:t>
      </w:r>
      <w:r w:rsidRPr="00CB216A">
        <w:rPr>
          <w:rFonts w:ascii="Times New Roman" w:eastAsia="Times New Roman" w:hAnsi="Times New Roman" w:cs="Times New Roman"/>
          <w:color w:val="000000" w:themeColor="text1"/>
          <w:sz w:val="24"/>
          <w:szCs w:val="24"/>
          <w:lang w:val="en-US" w:eastAsia="id-ID"/>
        </w:rPr>
        <w:t xml:space="preserve">, </w:t>
      </w:r>
      <w:r w:rsidRPr="00CB216A">
        <w:rPr>
          <w:rFonts w:ascii="Times New Roman" w:eastAsia="Times New Roman" w:hAnsi="Times New Roman" w:cs="Times New Roman"/>
          <w:i/>
          <w:color w:val="000000" w:themeColor="text1"/>
          <w:sz w:val="24"/>
          <w:szCs w:val="24"/>
          <w:lang w:val="en-US" w:eastAsia="id-ID"/>
        </w:rPr>
        <w:t>5</w:t>
      </w:r>
      <w:r w:rsidRPr="00CB216A">
        <w:rPr>
          <w:rFonts w:ascii="Times New Roman" w:eastAsia="Times New Roman" w:hAnsi="Times New Roman" w:cs="Times New Roman"/>
          <w:color w:val="000000" w:themeColor="text1"/>
          <w:sz w:val="24"/>
          <w:szCs w:val="24"/>
          <w:lang w:val="en-US" w:eastAsia="id-ID"/>
        </w:rPr>
        <w:t>(1), 385-413.</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sz w:val="24"/>
          <w:szCs w:val="24"/>
          <w:lang w:val="en-US" w:eastAsia="id-ID"/>
        </w:rPr>
      </w:pPr>
      <w:r w:rsidRPr="00CB216A">
        <w:rPr>
          <w:rFonts w:ascii="Times New Roman" w:eastAsia="Times New Roman" w:hAnsi="Times New Roman" w:cs="Times New Roman"/>
          <w:color w:val="000000" w:themeColor="text1"/>
          <w:sz w:val="24"/>
          <w:szCs w:val="24"/>
          <w:lang w:val="en-US" w:eastAsia="id-ID"/>
        </w:rPr>
        <w:t>Prasetyo</w:t>
      </w:r>
      <w:r w:rsidRPr="00CB216A">
        <w:rPr>
          <w:rFonts w:ascii="Times New Roman" w:eastAsia="Times New Roman" w:hAnsi="Times New Roman" w:cs="Times New Roman"/>
          <w:color w:val="000000" w:themeColor="text1"/>
          <w:sz w:val="24"/>
          <w:szCs w:val="24"/>
          <w:lang w:val="en-US" w:eastAsia="id-ID"/>
        </w:rPr>
        <w:t xml:space="preserve">rini, B. F. (2013). Pengaruh ukuran perusahaan, leverage, price earning ratio dan profitabilitas terhadap nilai perusahaan. </w:t>
      </w:r>
      <w:r w:rsidRPr="00CB216A">
        <w:rPr>
          <w:rFonts w:ascii="Times New Roman" w:eastAsia="Times New Roman" w:hAnsi="Times New Roman" w:cs="Times New Roman"/>
          <w:i/>
          <w:color w:val="000000" w:themeColor="text1"/>
          <w:sz w:val="24"/>
          <w:szCs w:val="24"/>
          <w:lang w:val="en-US" w:eastAsia="id-ID"/>
        </w:rPr>
        <w:t>Jurnal Ilmu Manajemen</w:t>
      </w:r>
      <w:r w:rsidRPr="00CB216A">
        <w:rPr>
          <w:rFonts w:ascii="Times New Roman" w:eastAsia="Times New Roman" w:hAnsi="Times New Roman" w:cs="Times New Roman"/>
          <w:color w:val="000000" w:themeColor="text1"/>
          <w:sz w:val="24"/>
          <w:szCs w:val="24"/>
          <w:lang w:val="en-US" w:eastAsia="id-ID"/>
        </w:rPr>
        <w:t xml:space="preserve">, </w:t>
      </w:r>
      <w:r w:rsidRPr="00CB216A">
        <w:rPr>
          <w:rFonts w:ascii="Times New Roman" w:eastAsia="Times New Roman" w:hAnsi="Times New Roman" w:cs="Times New Roman"/>
          <w:i/>
          <w:color w:val="000000" w:themeColor="text1"/>
          <w:sz w:val="24"/>
          <w:szCs w:val="24"/>
          <w:lang w:val="en-US" w:eastAsia="id-ID"/>
        </w:rPr>
        <w:t>1</w:t>
      </w:r>
      <w:r w:rsidRPr="00CB216A">
        <w:rPr>
          <w:rFonts w:ascii="Times New Roman" w:eastAsia="Times New Roman" w:hAnsi="Times New Roman" w:cs="Times New Roman"/>
          <w:color w:val="000000" w:themeColor="text1"/>
          <w:sz w:val="24"/>
          <w:szCs w:val="24"/>
          <w:lang w:val="en-US" w:eastAsia="id-ID"/>
        </w:rPr>
        <w:t>(1), 183-196.</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sz w:val="24"/>
          <w:szCs w:val="24"/>
          <w:lang w:val="en-US" w:eastAsia="id-ID"/>
        </w:rPr>
        <w:t xml:space="preserve">Putra, I . M., &amp; Dana, I. M. (2016). Pengaruh profitabilitas, leverage, likuiditas dan ukuran </w:t>
      </w:r>
      <w:r w:rsidRPr="00CB216A">
        <w:rPr>
          <w:rFonts w:ascii="Times New Roman" w:eastAsia="Times New Roman" w:hAnsi="Times New Roman" w:cs="Times New Roman"/>
          <w:sz w:val="24"/>
          <w:szCs w:val="24"/>
          <w:lang w:val="en-US" w:eastAsia="id-ID"/>
        </w:rPr>
        <w:t xml:space="preserve">perusahaan terhadap return saham perusahaan farmasi. </w:t>
      </w:r>
      <w:r w:rsidRPr="00CB216A">
        <w:rPr>
          <w:rFonts w:ascii="Times New Roman" w:eastAsia="Times New Roman" w:hAnsi="Times New Roman" w:cs="Times New Roman"/>
          <w:i/>
          <w:color w:val="000000" w:themeColor="text1"/>
          <w:sz w:val="24"/>
          <w:szCs w:val="24"/>
          <w:lang w:val="en-US" w:eastAsia="id-ID"/>
        </w:rPr>
        <w:t>E-Jurnal Manajemen U</w:t>
      </w:r>
      <w:r w:rsidR="0037326C" w:rsidRPr="00CB216A">
        <w:rPr>
          <w:rFonts w:ascii="Times New Roman" w:eastAsia="Times New Roman" w:hAnsi="Times New Roman" w:cs="Times New Roman"/>
          <w:i/>
          <w:color w:val="000000" w:themeColor="text1"/>
          <w:sz w:val="24"/>
          <w:szCs w:val="24"/>
          <w:lang w:val="en-US" w:eastAsia="id-ID"/>
        </w:rPr>
        <w:t>n</w:t>
      </w:r>
      <w:r w:rsidRPr="00CB216A">
        <w:rPr>
          <w:rFonts w:ascii="Times New Roman" w:eastAsia="Times New Roman" w:hAnsi="Times New Roman" w:cs="Times New Roman"/>
          <w:i/>
          <w:color w:val="000000" w:themeColor="text1"/>
          <w:sz w:val="24"/>
          <w:szCs w:val="24"/>
          <w:lang w:val="en-US" w:eastAsia="id-ID"/>
        </w:rPr>
        <w:t>ud</w:t>
      </w:r>
      <w:r w:rsidRPr="00CB216A">
        <w:rPr>
          <w:rFonts w:ascii="Times New Roman" w:eastAsia="Times New Roman" w:hAnsi="Times New Roman" w:cs="Times New Roman"/>
          <w:color w:val="000000" w:themeColor="text1"/>
          <w:sz w:val="24"/>
          <w:szCs w:val="24"/>
          <w:lang w:val="en-US" w:eastAsia="id-ID"/>
        </w:rPr>
        <w:t xml:space="preserve">, </w:t>
      </w:r>
      <w:r w:rsidRPr="00CB216A">
        <w:rPr>
          <w:rFonts w:ascii="Times New Roman" w:eastAsia="Times New Roman" w:hAnsi="Times New Roman" w:cs="Times New Roman"/>
          <w:i/>
          <w:color w:val="000000" w:themeColor="text1"/>
          <w:sz w:val="24"/>
          <w:szCs w:val="24"/>
          <w:lang w:val="en-US" w:eastAsia="id-ID"/>
        </w:rPr>
        <w:t>5</w:t>
      </w:r>
      <w:r w:rsidRPr="00CB216A">
        <w:rPr>
          <w:rFonts w:ascii="Times New Roman" w:eastAsia="Times New Roman" w:hAnsi="Times New Roman" w:cs="Times New Roman"/>
          <w:color w:val="000000" w:themeColor="text1"/>
          <w:sz w:val="24"/>
          <w:szCs w:val="24"/>
          <w:lang w:val="en-US" w:eastAsia="id-ID"/>
        </w:rPr>
        <w:t xml:space="preserve">(11), 6825-6850. </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color w:val="000000" w:themeColor="text1"/>
          <w:sz w:val="24"/>
          <w:szCs w:val="24"/>
          <w:lang w:val="en-US" w:eastAsia="id-ID"/>
        </w:rPr>
      </w:pPr>
      <w:r w:rsidRPr="00CB216A">
        <w:rPr>
          <w:rFonts w:ascii="Times New Roman" w:eastAsia="Times New Roman" w:hAnsi="Times New Roman" w:cs="Times New Roman"/>
          <w:sz w:val="24"/>
          <w:szCs w:val="24"/>
          <w:lang w:val="en-US" w:eastAsia="id-ID"/>
        </w:rPr>
        <w:t>Raningsih, N. K., &amp; Putra , I. M. P. D. (2015). Pengaruh rasio-rasio keuangan dan ukuran perusahaan terhadap return saham.</w:t>
      </w:r>
      <w:r w:rsidRPr="00CB216A">
        <w:rPr>
          <w:rFonts w:ascii="Times New Roman" w:eastAsia="Times New Roman" w:hAnsi="Times New Roman" w:cs="Times New Roman"/>
          <w:color w:val="000000" w:themeColor="text1"/>
          <w:sz w:val="24"/>
          <w:szCs w:val="24"/>
          <w:lang w:val="en-US" w:eastAsia="id-ID"/>
        </w:rPr>
        <w:t xml:space="preserve"> </w:t>
      </w:r>
      <w:r w:rsidRPr="00CB216A">
        <w:rPr>
          <w:rFonts w:ascii="Times New Roman" w:eastAsia="Times New Roman" w:hAnsi="Times New Roman" w:cs="Times New Roman"/>
          <w:i/>
          <w:color w:val="000000" w:themeColor="text1"/>
          <w:sz w:val="24"/>
          <w:szCs w:val="24"/>
          <w:lang w:val="en-US" w:eastAsia="id-ID"/>
        </w:rPr>
        <w:t>E-Jurnal Akuntansi U</w:t>
      </w:r>
      <w:r w:rsidR="0037326C" w:rsidRPr="00CB216A">
        <w:rPr>
          <w:rFonts w:ascii="Times New Roman" w:eastAsia="Times New Roman" w:hAnsi="Times New Roman" w:cs="Times New Roman"/>
          <w:i/>
          <w:color w:val="000000" w:themeColor="text1"/>
          <w:sz w:val="24"/>
          <w:szCs w:val="24"/>
          <w:lang w:val="en-US" w:eastAsia="id-ID"/>
        </w:rPr>
        <w:t>n</w:t>
      </w:r>
      <w:r w:rsidRPr="00CB216A">
        <w:rPr>
          <w:rFonts w:ascii="Times New Roman" w:eastAsia="Times New Roman" w:hAnsi="Times New Roman" w:cs="Times New Roman"/>
          <w:i/>
          <w:color w:val="000000" w:themeColor="text1"/>
          <w:sz w:val="24"/>
          <w:szCs w:val="24"/>
          <w:lang w:val="en-US" w:eastAsia="id-ID"/>
        </w:rPr>
        <w:t>ud,</w:t>
      </w:r>
      <w:r w:rsidRPr="00CB216A">
        <w:rPr>
          <w:rFonts w:ascii="Times New Roman" w:eastAsia="Times New Roman" w:hAnsi="Times New Roman" w:cs="Times New Roman"/>
          <w:color w:val="000000" w:themeColor="text1"/>
          <w:sz w:val="24"/>
          <w:szCs w:val="24"/>
          <w:lang w:val="en-US" w:eastAsia="id-ID"/>
        </w:rPr>
        <w:t xml:space="preserve"> 13(2), 582-598.</w:t>
      </w:r>
    </w:p>
    <w:p w:rsidR="00D6102D" w:rsidRPr="00CB216A" w:rsidRDefault="0046403F" w:rsidP="00D6102D">
      <w:pPr>
        <w:shd w:val="clear" w:color="auto" w:fill="FFFFFF" w:themeFill="background1"/>
        <w:spacing w:before="120" w:after="120" w:line="240" w:lineRule="auto"/>
        <w:ind w:left="709" w:hanging="709"/>
        <w:jc w:val="both"/>
        <w:rPr>
          <w:rFonts w:ascii="Times New Roman" w:eastAsia="Times New Roman" w:hAnsi="Times New Roman" w:cs="Times New Roman"/>
          <w:sz w:val="24"/>
          <w:szCs w:val="24"/>
          <w:lang w:val="en-US" w:eastAsia="id-ID"/>
        </w:rPr>
      </w:pPr>
      <w:r w:rsidRPr="00CB216A">
        <w:rPr>
          <w:rFonts w:ascii="Times New Roman" w:eastAsia="Times New Roman" w:hAnsi="Times New Roman" w:cs="Times New Roman"/>
          <w:sz w:val="24"/>
          <w:szCs w:val="24"/>
          <w:lang w:val="en-US" w:eastAsia="id-ID"/>
        </w:rPr>
        <w:t>Rosiana, R., Retnowa</w:t>
      </w:r>
      <w:r w:rsidR="0037326C" w:rsidRPr="00CB216A">
        <w:rPr>
          <w:rFonts w:ascii="Times New Roman" w:eastAsia="Times New Roman" w:hAnsi="Times New Roman" w:cs="Times New Roman"/>
          <w:sz w:val="24"/>
          <w:szCs w:val="24"/>
          <w:lang w:val="en-US" w:eastAsia="id-ID"/>
        </w:rPr>
        <w:t>ti, W., &amp; Hendro, H. (</w:t>
      </w:r>
      <w:r w:rsidRPr="00CB216A">
        <w:rPr>
          <w:rFonts w:ascii="Times New Roman" w:eastAsia="Times New Roman" w:hAnsi="Times New Roman" w:cs="Times New Roman"/>
          <w:sz w:val="24"/>
          <w:szCs w:val="24"/>
          <w:lang w:val="en-US" w:eastAsia="id-ID"/>
        </w:rPr>
        <w:t xml:space="preserve">2014). Pengaruh rasio profitabilitas, rasio aktivitas, rasio pasar, firm size, tingkat suku bunga, dan nilai tukar terhadap return Saham. </w:t>
      </w:r>
      <w:r w:rsidRPr="00CB216A">
        <w:rPr>
          <w:rFonts w:ascii="Times New Roman" w:eastAsia="Times New Roman" w:hAnsi="Times New Roman" w:cs="Times New Roman"/>
          <w:i/>
          <w:sz w:val="24"/>
          <w:szCs w:val="24"/>
          <w:lang w:val="en-US" w:eastAsia="id-ID"/>
        </w:rPr>
        <w:t>Jurnal Bisnis dan Manajemen, 4</w:t>
      </w:r>
      <w:r w:rsidRPr="00CB216A">
        <w:rPr>
          <w:rFonts w:ascii="Times New Roman" w:eastAsia="Times New Roman" w:hAnsi="Times New Roman" w:cs="Times New Roman"/>
          <w:sz w:val="24"/>
          <w:szCs w:val="24"/>
          <w:lang w:val="en-US" w:eastAsia="id-ID"/>
        </w:rPr>
        <w:t>(1), 79-91.</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Rudianto, R. (201</w:t>
      </w:r>
      <w:r w:rsidRPr="00CB216A">
        <w:rPr>
          <w:rFonts w:ascii="Times New Roman" w:hAnsi="Times New Roman" w:cs="Times New Roman"/>
          <w:color w:val="000000" w:themeColor="text1"/>
          <w:sz w:val="24"/>
          <w:szCs w:val="24"/>
          <w:lang w:val="en-US"/>
        </w:rPr>
        <w:t xml:space="preserve">3). </w:t>
      </w:r>
      <w:r w:rsidRPr="00CB216A">
        <w:rPr>
          <w:rFonts w:ascii="Times New Roman" w:hAnsi="Times New Roman" w:cs="Times New Roman"/>
          <w:i/>
          <w:color w:val="000000" w:themeColor="text1"/>
          <w:sz w:val="24"/>
          <w:szCs w:val="24"/>
          <w:lang w:val="en-US"/>
        </w:rPr>
        <w:t xml:space="preserve">Akuntansi </w:t>
      </w:r>
      <w:r w:rsidR="0037326C" w:rsidRPr="00CB216A">
        <w:rPr>
          <w:rFonts w:ascii="Times New Roman" w:hAnsi="Times New Roman" w:cs="Times New Roman"/>
          <w:i/>
          <w:color w:val="000000" w:themeColor="text1"/>
          <w:sz w:val="24"/>
          <w:szCs w:val="24"/>
          <w:lang w:val="en-US"/>
        </w:rPr>
        <w:t>Manajemen Informasi untuk Pengambilan Keputusan Strategis</w:t>
      </w:r>
      <w:r w:rsidR="0037326C" w:rsidRPr="00CB216A">
        <w:rPr>
          <w:rFonts w:ascii="Times New Roman" w:hAnsi="Times New Roman" w:cs="Times New Roman"/>
          <w:color w:val="000000" w:themeColor="text1"/>
          <w:sz w:val="24"/>
          <w:szCs w:val="24"/>
          <w:lang w:val="en-US"/>
        </w:rPr>
        <w:t>.</w:t>
      </w:r>
      <w:r w:rsidRPr="00CB216A">
        <w:rPr>
          <w:rFonts w:ascii="Times New Roman" w:hAnsi="Times New Roman" w:cs="Times New Roman"/>
          <w:color w:val="000000" w:themeColor="text1"/>
          <w:sz w:val="24"/>
          <w:szCs w:val="24"/>
          <w:lang w:val="en-US"/>
        </w:rPr>
        <w:t xml:space="preserve"> Jakarta: Erlangga.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eastAsia="Times New Roman" w:hAnsi="Times New Roman" w:cs="Times New Roman"/>
          <w:sz w:val="24"/>
          <w:szCs w:val="24"/>
          <w:lang w:val="en-US" w:eastAsia="id-ID"/>
        </w:rPr>
        <w:t>Rufaida, I., &amp; Hermanto, S. B.</w:t>
      </w:r>
      <w:r w:rsidRPr="00CB216A">
        <w:rPr>
          <w:rFonts w:ascii="Times New Roman" w:hAnsi="Times New Roman" w:cs="Times New Roman"/>
          <w:color w:val="000000" w:themeColor="text1"/>
          <w:sz w:val="24"/>
          <w:szCs w:val="24"/>
          <w:lang w:val="en-US"/>
        </w:rPr>
        <w:t xml:space="preserve"> (2015). Pengaruh profitabilitas, solvabilitas, dan rasio pasar terhadap return saham. </w:t>
      </w:r>
      <w:r w:rsidRPr="00CB216A">
        <w:rPr>
          <w:rFonts w:ascii="Times New Roman" w:hAnsi="Times New Roman" w:cs="Times New Roman"/>
          <w:i/>
          <w:color w:val="000000" w:themeColor="text1"/>
          <w:sz w:val="24"/>
          <w:szCs w:val="24"/>
          <w:lang w:val="en-US"/>
        </w:rPr>
        <w:t>Jurnal Ilmu dan Riset Akuntansi</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4</w:t>
      </w:r>
      <w:r w:rsidRPr="00CB216A">
        <w:rPr>
          <w:rFonts w:ascii="Times New Roman" w:hAnsi="Times New Roman" w:cs="Times New Roman"/>
          <w:color w:val="000000" w:themeColor="text1"/>
          <w:sz w:val="24"/>
          <w:szCs w:val="24"/>
          <w:lang w:val="en-US"/>
        </w:rPr>
        <w:t>(4), 1-20.</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eastAsia="Times New Roman" w:hAnsi="Times New Roman" w:cs="Times New Roman"/>
          <w:sz w:val="24"/>
          <w:szCs w:val="24"/>
          <w:lang w:val="en-US" w:eastAsia="id-ID"/>
        </w:rPr>
        <w:t>Soemitra, Andri.</w:t>
      </w:r>
      <w:r w:rsidRPr="00CB216A">
        <w:rPr>
          <w:rFonts w:ascii="Times New Roman" w:hAnsi="Times New Roman" w:cs="Times New Roman"/>
          <w:color w:val="000000" w:themeColor="text1"/>
          <w:sz w:val="24"/>
          <w:szCs w:val="24"/>
          <w:lang w:val="en-US"/>
        </w:rPr>
        <w:t xml:space="preserve"> (2014). </w:t>
      </w:r>
      <w:r w:rsidRPr="00CB216A">
        <w:rPr>
          <w:rFonts w:ascii="Times New Roman" w:hAnsi="Times New Roman" w:cs="Times New Roman"/>
          <w:i/>
          <w:color w:val="000000" w:themeColor="text1"/>
          <w:sz w:val="24"/>
          <w:szCs w:val="24"/>
          <w:lang w:val="en-US"/>
        </w:rPr>
        <w:t xml:space="preserve">Masa </w:t>
      </w:r>
      <w:r w:rsidR="0037326C" w:rsidRPr="00CB216A">
        <w:rPr>
          <w:rFonts w:ascii="Times New Roman" w:hAnsi="Times New Roman" w:cs="Times New Roman"/>
          <w:i/>
          <w:color w:val="000000" w:themeColor="text1"/>
          <w:sz w:val="24"/>
          <w:szCs w:val="24"/>
          <w:lang w:val="en-US"/>
        </w:rPr>
        <w:t xml:space="preserve">Depan Pasar Modal Syariah di </w:t>
      </w:r>
      <w:r w:rsidRPr="00CB216A">
        <w:rPr>
          <w:rFonts w:ascii="Times New Roman" w:hAnsi="Times New Roman" w:cs="Times New Roman"/>
          <w:i/>
          <w:color w:val="000000" w:themeColor="text1"/>
          <w:sz w:val="24"/>
          <w:szCs w:val="24"/>
          <w:lang w:val="en-US"/>
        </w:rPr>
        <w:t>Indonesia</w:t>
      </w:r>
      <w:r w:rsidRPr="00CB216A">
        <w:rPr>
          <w:rFonts w:ascii="Times New Roman" w:hAnsi="Times New Roman" w:cs="Times New Roman"/>
          <w:color w:val="000000" w:themeColor="text1"/>
          <w:sz w:val="24"/>
          <w:szCs w:val="24"/>
          <w:lang w:val="en-US"/>
        </w:rPr>
        <w:t>. Jakarta: Kencana.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Sugiarto, A. (2011). Analisis pengaruh beta, size perusahaan, DER dan PBV ratio terhadap </w:t>
      </w:r>
      <w:r w:rsidRPr="00CB216A">
        <w:rPr>
          <w:rFonts w:ascii="Times New Roman" w:hAnsi="Times New Roman" w:cs="Times New Roman"/>
          <w:i/>
          <w:color w:val="000000" w:themeColor="text1"/>
          <w:sz w:val="24"/>
          <w:szCs w:val="24"/>
          <w:lang w:val="en-US"/>
        </w:rPr>
        <w:t>return</w:t>
      </w:r>
      <w:r w:rsidRPr="00CB216A">
        <w:rPr>
          <w:rFonts w:ascii="Times New Roman" w:hAnsi="Times New Roman" w:cs="Times New Roman"/>
          <w:color w:val="000000" w:themeColor="text1"/>
          <w:sz w:val="24"/>
          <w:szCs w:val="24"/>
          <w:lang w:val="en-US"/>
        </w:rPr>
        <w:t xml:space="preserve"> saham. </w:t>
      </w:r>
      <w:r w:rsidRPr="00CB216A">
        <w:rPr>
          <w:rFonts w:ascii="Times New Roman" w:hAnsi="Times New Roman" w:cs="Times New Roman"/>
          <w:i/>
          <w:color w:val="000000" w:themeColor="text1"/>
          <w:sz w:val="24"/>
          <w:szCs w:val="24"/>
          <w:lang w:val="en-US"/>
        </w:rPr>
        <w:t>Jurnal Dinamika Akuntansi</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3</w:t>
      </w:r>
      <w:r w:rsidRPr="00CB216A">
        <w:rPr>
          <w:rFonts w:ascii="Times New Roman" w:hAnsi="Times New Roman" w:cs="Times New Roman"/>
          <w:color w:val="000000" w:themeColor="text1"/>
          <w:sz w:val="24"/>
          <w:szCs w:val="24"/>
          <w:lang w:val="en-US"/>
        </w:rPr>
        <w:t>(1), 8-14.</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Sugiyono, S. (2010). </w:t>
      </w:r>
      <w:r w:rsidRPr="00CB216A">
        <w:rPr>
          <w:rFonts w:ascii="Times New Roman" w:hAnsi="Times New Roman" w:cs="Times New Roman"/>
          <w:i/>
          <w:color w:val="000000" w:themeColor="text1"/>
          <w:sz w:val="24"/>
          <w:szCs w:val="24"/>
          <w:lang w:val="en-US"/>
        </w:rPr>
        <w:t>Stati</w:t>
      </w:r>
      <w:r w:rsidRPr="00CB216A">
        <w:rPr>
          <w:rFonts w:ascii="Times New Roman" w:hAnsi="Times New Roman" w:cs="Times New Roman"/>
          <w:i/>
          <w:color w:val="000000" w:themeColor="text1"/>
          <w:sz w:val="24"/>
          <w:szCs w:val="24"/>
          <w:lang w:val="en-US"/>
        </w:rPr>
        <w:t xml:space="preserve">stika untuk </w:t>
      </w:r>
      <w:r w:rsidR="0037326C" w:rsidRPr="00CB216A">
        <w:rPr>
          <w:rFonts w:ascii="Times New Roman" w:hAnsi="Times New Roman" w:cs="Times New Roman"/>
          <w:i/>
          <w:color w:val="000000" w:themeColor="text1"/>
          <w:sz w:val="24"/>
          <w:szCs w:val="24"/>
          <w:lang w:val="en-US"/>
        </w:rPr>
        <w:t>P</w:t>
      </w:r>
      <w:r w:rsidRPr="00CB216A">
        <w:rPr>
          <w:rFonts w:ascii="Times New Roman" w:hAnsi="Times New Roman" w:cs="Times New Roman"/>
          <w:i/>
          <w:color w:val="000000" w:themeColor="text1"/>
          <w:sz w:val="24"/>
          <w:szCs w:val="24"/>
          <w:lang w:val="en-US"/>
        </w:rPr>
        <w:t>enelitian</w:t>
      </w:r>
      <w:r w:rsidRPr="00CB216A">
        <w:rPr>
          <w:rFonts w:ascii="Times New Roman" w:hAnsi="Times New Roman" w:cs="Times New Roman"/>
          <w:color w:val="000000" w:themeColor="text1"/>
          <w:sz w:val="24"/>
          <w:szCs w:val="24"/>
          <w:lang w:val="en-US"/>
        </w:rPr>
        <w:t>. Bandung: Alfabeta.</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Suhadak, Rahayu, S. M., &amp; Handayani, S.R., (2018). GCG, financial architecture on stock return, financial performance and corporate value. </w:t>
      </w:r>
      <w:r w:rsidRPr="00CB216A">
        <w:rPr>
          <w:rFonts w:ascii="Times New Roman" w:hAnsi="Times New Roman" w:cs="Times New Roman"/>
          <w:i/>
          <w:color w:val="000000" w:themeColor="text1"/>
          <w:sz w:val="24"/>
          <w:szCs w:val="24"/>
          <w:lang w:val="en-US"/>
        </w:rPr>
        <w:t>International Journal of Productivity and Performance Management</w:t>
      </w:r>
      <w:r w:rsidRPr="00CB216A">
        <w:rPr>
          <w:rFonts w:ascii="Times New Roman" w:hAnsi="Times New Roman" w:cs="Times New Roman"/>
          <w:color w:val="000000" w:themeColor="text1"/>
          <w:sz w:val="24"/>
          <w:szCs w:val="24"/>
          <w:lang w:val="en-US"/>
        </w:rPr>
        <w:t xml:space="preserve">, </w:t>
      </w:r>
      <w:r w:rsidR="0037326C" w:rsidRPr="00CB216A">
        <w:rPr>
          <w:rFonts w:ascii="Times New Roman" w:hAnsi="Times New Roman" w:cs="Times New Roman"/>
          <w:i/>
          <w:color w:val="000000" w:themeColor="text1"/>
          <w:sz w:val="24"/>
          <w:szCs w:val="24"/>
          <w:lang w:val="en-US"/>
        </w:rPr>
        <w:t>69</w:t>
      </w:r>
      <w:r w:rsidR="0037326C" w:rsidRPr="00CB216A">
        <w:rPr>
          <w:rFonts w:ascii="Times New Roman" w:hAnsi="Times New Roman" w:cs="Times New Roman"/>
          <w:color w:val="000000" w:themeColor="text1"/>
          <w:sz w:val="24"/>
          <w:szCs w:val="24"/>
          <w:lang w:val="en-US"/>
        </w:rPr>
        <w:t>(2), 1-19.</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Syamni, G., Wahyuddin., Damanhur., &amp; Ichsan. (2018). CSR and profitability in agricultural subsectors. </w:t>
      </w:r>
      <w:r w:rsidRPr="00CB216A">
        <w:rPr>
          <w:rFonts w:ascii="Times New Roman" w:hAnsi="Times New Roman" w:cs="Times New Roman"/>
          <w:i/>
          <w:color w:val="000000" w:themeColor="text1"/>
          <w:sz w:val="24"/>
          <w:szCs w:val="24"/>
          <w:lang w:val="en-US"/>
        </w:rPr>
        <w:t>Asia Pacific Journal of Innovation and Entrepreneurship</w:t>
      </w:r>
      <w:r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i/>
          <w:color w:val="000000" w:themeColor="text1"/>
          <w:sz w:val="24"/>
          <w:szCs w:val="24"/>
          <w:lang w:val="en-US"/>
        </w:rPr>
        <w:t>11</w:t>
      </w:r>
      <w:r w:rsidRPr="00CB216A">
        <w:rPr>
          <w:rFonts w:ascii="Times New Roman" w:hAnsi="Times New Roman" w:cs="Times New Roman"/>
          <w:color w:val="000000" w:themeColor="text1"/>
          <w:sz w:val="24"/>
          <w:szCs w:val="24"/>
          <w:lang w:val="en-US"/>
        </w:rPr>
        <w:t>(1), 76-89</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lastRenderedPageBreak/>
        <w:t>Taj, S. A. (2016). Application of signaling theory in management research: add</w:t>
      </w:r>
      <w:r w:rsidRPr="00CB216A">
        <w:rPr>
          <w:rFonts w:ascii="Times New Roman" w:hAnsi="Times New Roman" w:cs="Times New Roman"/>
          <w:color w:val="000000" w:themeColor="text1"/>
          <w:sz w:val="24"/>
          <w:szCs w:val="24"/>
          <w:lang w:val="en-US"/>
        </w:rPr>
        <w:t xml:space="preserve">ressing major gaps in theory. </w:t>
      </w:r>
      <w:r w:rsidRPr="00CB216A">
        <w:rPr>
          <w:rFonts w:ascii="Times New Roman" w:hAnsi="Times New Roman" w:cs="Times New Roman"/>
          <w:i/>
          <w:color w:val="000000" w:themeColor="text1"/>
          <w:sz w:val="24"/>
          <w:szCs w:val="24"/>
          <w:lang w:val="en-US"/>
        </w:rPr>
        <w:t xml:space="preserve">European Management Journal, </w:t>
      </w:r>
      <w:r w:rsidRPr="00CB216A">
        <w:rPr>
          <w:rFonts w:ascii="Times New Roman" w:hAnsi="Times New Roman" w:cs="Times New Roman"/>
          <w:color w:val="000000" w:themeColor="text1"/>
          <w:sz w:val="24"/>
          <w:szCs w:val="24"/>
          <w:lang w:val="en-US"/>
        </w:rPr>
        <w:t>8,</w:t>
      </w:r>
      <w:r w:rsidR="003A3479" w:rsidRPr="00CB216A">
        <w:rPr>
          <w:rFonts w:ascii="Times New Roman" w:hAnsi="Times New Roman" w:cs="Times New Roman"/>
          <w:color w:val="000000" w:themeColor="text1"/>
          <w:sz w:val="24"/>
          <w:szCs w:val="24"/>
          <w:lang w:val="en-US"/>
        </w:rPr>
        <w:t xml:space="preserve"> </w:t>
      </w:r>
      <w:r w:rsidRPr="00CB216A">
        <w:rPr>
          <w:rFonts w:ascii="Times New Roman" w:hAnsi="Times New Roman" w:cs="Times New Roman"/>
          <w:color w:val="000000" w:themeColor="text1"/>
          <w:sz w:val="24"/>
          <w:szCs w:val="24"/>
          <w:lang w:val="en-US"/>
        </w:rPr>
        <w:t xml:space="preserve">1-11. </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Widayanti, P., &amp; Haryanto, A. M. (2013). Analisis pengaruh faktor fundamental dan volume perdagangan terhadap return saham. </w:t>
      </w:r>
      <w:r w:rsidRPr="00CB216A">
        <w:rPr>
          <w:rFonts w:ascii="Times New Roman" w:hAnsi="Times New Roman" w:cs="Times New Roman"/>
          <w:i/>
          <w:color w:val="000000" w:themeColor="text1"/>
          <w:sz w:val="24"/>
          <w:szCs w:val="24"/>
          <w:lang w:val="en-US"/>
        </w:rPr>
        <w:t xml:space="preserve">Diponegoro Journal </w:t>
      </w:r>
      <w:r w:rsidR="003A3479" w:rsidRPr="00CB216A">
        <w:rPr>
          <w:rFonts w:ascii="Times New Roman" w:hAnsi="Times New Roman" w:cs="Times New Roman"/>
          <w:i/>
          <w:color w:val="000000" w:themeColor="text1"/>
          <w:sz w:val="24"/>
          <w:szCs w:val="24"/>
          <w:lang w:val="en-US"/>
        </w:rPr>
        <w:t>o</w:t>
      </w:r>
      <w:r w:rsidRPr="00CB216A">
        <w:rPr>
          <w:rFonts w:ascii="Times New Roman" w:hAnsi="Times New Roman" w:cs="Times New Roman"/>
          <w:i/>
          <w:color w:val="000000" w:themeColor="text1"/>
          <w:sz w:val="24"/>
          <w:szCs w:val="24"/>
          <w:lang w:val="en-US"/>
        </w:rPr>
        <w:t xml:space="preserve">f Management, </w:t>
      </w:r>
      <w:r w:rsidR="003A3479" w:rsidRPr="00CB216A">
        <w:rPr>
          <w:rFonts w:ascii="Times New Roman" w:hAnsi="Times New Roman" w:cs="Times New Roman"/>
          <w:color w:val="000000" w:themeColor="text1"/>
          <w:sz w:val="24"/>
          <w:szCs w:val="24"/>
          <w:lang w:val="en-US"/>
        </w:rPr>
        <w:t>2</w:t>
      </w:r>
      <w:r w:rsidRPr="00CB216A">
        <w:rPr>
          <w:rFonts w:ascii="Times New Roman" w:hAnsi="Times New Roman" w:cs="Times New Roman"/>
          <w:color w:val="000000" w:themeColor="text1"/>
          <w:sz w:val="24"/>
          <w:szCs w:val="24"/>
          <w:lang w:val="en-US"/>
        </w:rPr>
        <w:t>(3), 1-11.</w:t>
      </w:r>
    </w:p>
    <w:p w:rsidR="00D6102D" w:rsidRPr="00CB216A" w:rsidRDefault="0046403F" w:rsidP="00D6102D">
      <w:pPr>
        <w:shd w:val="clear" w:color="auto" w:fill="FFFFFF" w:themeFill="background1"/>
        <w:spacing w:before="120" w:after="120" w:line="240" w:lineRule="auto"/>
        <w:ind w:left="709" w:hanging="709"/>
        <w:jc w:val="both"/>
        <w:rPr>
          <w:rFonts w:ascii="Times New Roman" w:hAnsi="Times New Roman" w:cs="Times New Roman"/>
          <w:color w:val="000000" w:themeColor="text1"/>
          <w:sz w:val="24"/>
          <w:szCs w:val="24"/>
          <w:lang w:val="en-US"/>
        </w:rPr>
      </w:pPr>
      <w:r w:rsidRPr="00CB216A">
        <w:rPr>
          <w:rFonts w:ascii="Times New Roman" w:hAnsi="Times New Roman" w:cs="Times New Roman"/>
          <w:color w:val="000000" w:themeColor="text1"/>
          <w:sz w:val="24"/>
          <w:szCs w:val="24"/>
          <w:lang w:val="en-US"/>
        </w:rPr>
        <w:t xml:space="preserve">Yuliantari, W. N. N. A., &amp; Sujana, I. K. (2014). Pengaruh financial ratio, firm size, dan cash flow operating terhadap return share perusahaan F&amp;B. </w:t>
      </w:r>
      <w:r w:rsidRPr="00CB216A">
        <w:rPr>
          <w:rFonts w:ascii="Times New Roman" w:hAnsi="Times New Roman" w:cs="Times New Roman"/>
          <w:i/>
          <w:color w:val="000000" w:themeColor="text1"/>
          <w:sz w:val="24"/>
          <w:szCs w:val="24"/>
          <w:lang w:val="en-US"/>
        </w:rPr>
        <w:t>Jurnal Akuntansi, 8</w:t>
      </w:r>
      <w:r w:rsidRPr="00CB216A">
        <w:rPr>
          <w:rFonts w:ascii="Times New Roman" w:hAnsi="Times New Roman" w:cs="Times New Roman"/>
          <w:color w:val="000000" w:themeColor="text1"/>
          <w:sz w:val="24"/>
          <w:szCs w:val="24"/>
          <w:lang w:val="en-US"/>
        </w:rPr>
        <w:t>(1), 547-558.</w:t>
      </w:r>
    </w:p>
    <w:p w:rsidR="00564B8F" w:rsidRPr="00CB216A" w:rsidRDefault="00564B8F" w:rsidP="00D6102D">
      <w:pPr>
        <w:shd w:val="clear" w:color="auto" w:fill="FFFFFF" w:themeFill="background1"/>
        <w:spacing w:after="360" w:line="240" w:lineRule="auto"/>
        <w:ind w:left="709" w:hanging="709"/>
        <w:jc w:val="both"/>
        <w:rPr>
          <w:rFonts w:ascii="Times New Roman" w:hAnsi="Times New Roman" w:cs="Times New Roman"/>
          <w:color w:val="000000" w:themeColor="text1"/>
          <w:sz w:val="24"/>
          <w:szCs w:val="24"/>
          <w:lang w:val="en-US"/>
        </w:rPr>
      </w:pPr>
    </w:p>
    <w:sectPr w:rsidR="00564B8F" w:rsidRPr="00CB216A" w:rsidSect="005A6657">
      <w:footerReference w:type="default" r:id="rId7"/>
      <w:pgSz w:w="11906" w:h="16838"/>
      <w:pgMar w:top="2268" w:right="2098" w:bottom="209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03F" w:rsidRDefault="0046403F" w:rsidP="00A91EE8">
      <w:pPr>
        <w:spacing w:after="0" w:line="240" w:lineRule="auto"/>
      </w:pPr>
      <w:r>
        <w:separator/>
      </w:r>
    </w:p>
  </w:endnote>
  <w:endnote w:type="continuationSeparator" w:id="1">
    <w:p w:rsidR="0046403F" w:rsidRDefault="0046403F" w:rsidP="00A91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9204"/>
      <w:docPartObj>
        <w:docPartGallery w:val="Page Numbers (Bottom of Page)"/>
        <w:docPartUnique/>
      </w:docPartObj>
    </w:sdtPr>
    <w:sdtContent>
      <w:p w:rsidR="009C4504" w:rsidRDefault="00A91EE8">
        <w:pPr>
          <w:pStyle w:val="Footer"/>
          <w:jc w:val="center"/>
        </w:pPr>
        <w:r>
          <w:fldChar w:fldCharType="begin"/>
        </w:r>
        <w:r w:rsidR="0046403F">
          <w:instrText xml:space="preserve"> PAGE   \* MERGEFORMAT </w:instrText>
        </w:r>
        <w:r>
          <w:fldChar w:fldCharType="separate"/>
        </w:r>
        <w:r w:rsidR="00034585">
          <w:rPr>
            <w:noProof/>
          </w:rPr>
          <w:t>1</w:t>
        </w:r>
        <w:r>
          <w:rPr>
            <w:noProof/>
          </w:rPr>
          <w:fldChar w:fldCharType="end"/>
        </w:r>
      </w:p>
    </w:sdtContent>
  </w:sdt>
  <w:p w:rsidR="009C4504" w:rsidRDefault="009C4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03F" w:rsidRDefault="0046403F" w:rsidP="00A91EE8">
      <w:pPr>
        <w:spacing w:after="0" w:line="240" w:lineRule="auto"/>
      </w:pPr>
      <w:r>
        <w:separator/>
      </w:r>
    </w:p>
  </w:footnote>
  <w:footnote w:type="continuationSeparator" w:id="1">
    <w:p w:rsidR="0046403F" w:rsidRDefault="0046403F" w:rsidP="00A91E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7F6"/>
    <w:multiLevelType w:val="hybridMultilevel"/>
    <w:tmpl w:val="D0A259F0"/>
    <w:lvl w:ilvl="0" w:tplc="D5DE3782">
      <w:start w:val="1"/>
      <w:numFmt w:val="decimal"/>
      <w:lvlText w:val="%1."/>
      <w:lvlJc w:val="left"/>
      <w:pPr>
        <w:ind w:left="720" w:hanging="360"/>
      </w:pPr>
      <w:rPr>
        <w:i w:val="0"/>
      </w:rPr>
    </w:lvl>
    <w:lvl w:ilvl="1" w:tplc="E2EC2646">
      <w:start w:val="1"/>
      <w:numFmt w:val="decimal"/>
      <w:lvlText w:val="%2."/>
      <w:lvlJc w:val="left"/>
      <w:pPr>
        <w:tabs>
          <w:tab w:val="num" w:pos="1440"/>
        </w:tabs>
        <w:ind w:left="1440" w:hanging="360"/>
      </w:pPr>
    </w:lvl>
    <w:lvl w:ilvl="2" w:tplc="D99CF6DE">
      <w:start w:val="1"/>
      <w:numFmt w:val="decimal"/>
      <w:lvlText w:val="%3."/>
      <w:lvlJc w:val="left"/>
      <w:pPr>
        <w:tabs>
          <w:tab w:val="num" w:pos="2160"/>
        </w:tabs>
        <w:ind w:left="2160" w:hanging="360"/>
      </w:pPr>
    </w:lvl>
    <w:lvl w:ilvl="3" w:tplc="5476A902">
      <w:start w:val="1"/>
      <w:numFmt w:val="decimal"/>
      <w:lvlText w:val="%4."/>
      <w:lvlJc w:val="left"/>
      <w:pPr>
        <w:tabs>
          <w:tab w:val="num" w:pos="2880"/>
        </w:tabs>
        <w:ind w:left="2880" w:hanging="360"/>
      </w:pPr>
    </w:lvl>
    <w:lvl w:ilvl="4" w:tplc="5DB69032">
      <w:start w:val="1"/>
      <w:numFmt w:val="decimal"/>
      <w:lvlText w:val="%5."/>
      <w:lvlJc w:val="left"/>
      <w:pPr>
        <w:tabs>
          <w:tab w:val="num" w:pos="3600"/>
        </w:tabs>
        <w:ind w:left="3600" w:hanging="360"/>
      </w:pPr>
    </w:lvl>
    <w:lvl w:ilvl="5" w:tplc="51943080">
      <w:start w:val="1"/>
      <w:numFmt w:val="decimal"/>
      <w:lvlText w:val="%6."/>
      <w:lvlJc w:val="left"/>
      <w:pPr>
        <w:tabs>
          <w:tab w:val="num" w:pos="4320"/>
        </w:tabs>
        <w:ind w:left="4320" w:hanging="360"/>
      </w:pPr>
    </w:lvl>
    <w:lvl w:ilvl="6" w:tplc="F246136A">
      <w:start w:val="1"/>
      <w:numFmt w:val="decimal"/>
      <w:lvlText w:val="%7."/>
      <w:lvlJc w:val="left"/>
      <w:pPr>
        <w:tabs>
          <w:tab w:val="num" w:pos="5040"/>
        </w:tabs>
        <w:ind w:left="5040" w:hanging="360"/>
      </w:pPr>
    </w:lvl>
    <w:lvl w:ilvl="7" w:tplc="3996B380">
      <w:start w:val="1"/>
      <w:numFmt w:val="decimal"/>
      <w:lvlText w:val="%8."/>
      <w:lvlJc w:val="left"/>
      <w:pPr>
        <w:tabs>
          <w:tab w:val="num" w:pos="5760"/>
        </w:tabs>
        <w:ind w:left="5760" w:hanging="360"/>
      </w:pPr>
    </w:lvl>
    <w:lvl w:ilvl="8" w:tplc="B83C899A">
      <w:start w:val="1"/>
      <w:numFmt w:val="decimal"/>
      <w:lvlText w:val="%9."/>
      <w:lvlJc w:val="left"/>
      <w:pPr>
        <w:tabs>
          <w:tab w:val="num" w:pos="6480"/>
        </w:tabs>
        <w:ind w:left="6480" w:hanging="360"/>
      </w:pPr>
    </w:lvl>
  </w:abstractNum>
  <w:abstractNum w:abstractNumId="1">
    <w:nsid w:val="0C5C5E77"/>
    <w:multiLevelType w:val="hybridMultilevel"/>
    <w:tmpl w:val="8168EFA4"/>
    <w:lvl w:ilvl="0" w:tplc="32B4829C">
      <w:start w:val="1"/>
      <w:numFmt w:val="decimal"/>
      <w:lvlText w:val="(%1)"/>
      <w:lvlJc w:val="left"/>
      <w:pPr>
        <w:tabs>
          <w:tab w:val="num" w:pos="1996"/>
        </w:tabs>
        <w:ind w:left="1996" w:hanging="720"/>
      </w:pPr>
      <w:rPr>
        <w:rFonts w:cs="Times New Roman"/>
      </w:rPr>
    </w:lvl>
    <w:lvl w:ilvl="1" w:tplc="3ABEFFB0">
      <w:start w:val="1"/>
      <w:numFmt w:val="lowerLetter"/>
      <w:lvlText w:val="%2."/>
      <w:lvlJc w:val="left"/>
      <w:pPr>
        <w:ind w:left="-3524" w:hanging="360"/>
      </w:pPr>
      <w:rPr>
        <w:rFonts w:cs="Times New Roman"/>
      </w:rPr>
    </w:lvl>
    <w:lvl w:ilvl="2" w:tplc="CD168242">
      <w:start w:val="1"/>
      <w:numFmt w:val="lowerRoman"/>
      <w:lvlText w:val="%3."/>
      <w:lvlJc w:val="right"/>
      <w:pPr>
        <w:ind w:left="-2804" w:hanging="180"/>
      </w:pPr>
      <w:rPr>
        <w:rFonts w:cs="Times New Roman"/>
      </w:rPr>
    </w:lvl>
    <w:lvl w:ilvl="3" w:tplc="9436495A">
      <w:start w:val="1"/>
      <w:numFmt w:val="decimal"/>
      <w:lvlText w:val="%4."/>
      <w:lvlJc w:val="left"/>
      <w:pPr>
        <w:ind w:left="-2084" w:hanging="360"/>
      </w:pPr>
      <w:rPr>
        <w:rFonts w:cs="Times New Roman"/>
      </w:rPr>
    </w:lvl>
    <w:lvl w:ilvl="4" w:tplc="4E1AC1F8">
      <w:start w:val="1"/>
      <w:numFmt w:val="lowerLetter"/>
      <w:lvlText w:val="%5."/>
      <w:lvlJc w:val="left"/>
      <w:pPr>
        <w:ind w:left="-1364" w:hanging="360"/>
      </w:pPr>
      <w:rPr>
        <w:rFonts w:cs="Times New Roman"/>
      </w:rPr>
    </w:lvl>
    <w:lvl w:ilvl="5" w:tplc="ED5A2766">
      <w:start w:val="1"/>
      <w:numFmt w:val="lowerRoman"/>
      <w:lvlText w:val="%6."/>
      <w:lvlJc w:val="right"/>
      <w:pPr>
        <w:ind w:left="-644" w:hanging="180"/>
      </w:pPr>
      <w:rPr>
        <w:rFonts w:cs="Times New Roman"/>
      </w:rPr>
    </w:lvl>
    <w:lvl w:ilvl="6" w:tplc="C048125E">
      <w:start w:val="1"/>
      <w:numFmt w:val="decimal"/>
      <w:lvlText w:val="%7."/>
      <w:lvlJc w:val="left"/>
      <w:pPr>
        <w:ind w:left="76" w:hanging="360"/>
      </w:pPr>
      <w:rPr>
        <w:rFonts w:cs="Times New Roman"/>
      </w:rPr>
    </w:lvl>
    <w:lvl w:ilvl="7" w:tplc="FC5E6B82">
      <w:start w:val="1"/>
      <w:numFmt w:val="lowerLetter"/>
      <w:lvlText w:val="%8."/>
      <w:lvlJc w:val="left"/>
      <w:pPr>
        <w:ind w:left="796" w:hanging="360"/>
      </w:pPr>
      <w:rPr>
        <w:rFonts w:cs="Times New Roman"/>
      </w:rPr>
    </w:lvl>
    <w:lvl w:ilvl="8" w:tplc="C3A650FE">
      <w:start w:val="1"/>
      <w:numFmt w:val="lowerRoman"/>
      <w:lvlText w:val="%9."/>
      <w:lvlJc w:val="right"/>
      <w:pPr>
        <w:ind w:left="1516" w:hanging="180"/>
      </w:pPr>
      <w:rPr>
        <w:rFonts w:cs="Times New Roman"/>
      </w:rPr>
    </w:lvl>
  </w:abstractNum>
  <w:abstractNum w:abstractNumId="2">
    <w:nsid w:val="0F7F300B"/>
    <w:multiLevelType w:val="multilevel"/>
    <w:tmpl w:val="A2042160"/>
    <w:lvl w:ilvl="0">
      <w:start w:val="4"/>
      <w:numFmt w:val="decimal"/>
      <w:lvlText w:val="%1"/>
      <w:lvlJc w:val="left"/>
      <w:pPr>
        <w:ind w:left="480" w:hanging="480"/>
      </w:pPr>
    </w:lvl>
    <w:lvl w:ilvl="1">
      <w:start w:val="1"/>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160151F3"/>
    <w:multiLevelType w:val="hybridMultilevel"/>
    <w:tmpl w:val="53EC134A"/>
    <w:lvl w:ilvl="0" w:tplc="143EDC24">
      <w:start w:val="1"/>
      <w:numFmt w:val="decimal"/>
      <w:lvlText w:val="%1."/>
      <w:lvlJc w:val="left"/>
      <w:pPr>
        <w:ind w:left="927" w:hanging="360"/>
      </w:pPr>
      <w:rPr>
        <w:sz w:val="24"/>
        <w:szCs w:val="24"/>
      </w:rPr>
    </w:lvl>
    <w:lvl w:ilvl="1" w:tplc="CC767884">
      <w:start w:val="1"/>
      <w:numFmt w:val="decimal"/>
      <w:lvlText w:val="%2."/>
      <w:lvlJc w:val="left"/>
      <w:pPr>
        <w:tabs>
          <w:tab w:val="num" w:pos="1440"/>
        </w:tabs>
        <w:ind w:left="1440" w:hanging="360"/>
      </w:pPr>
    </w:lvl>
    <w:lvl w:ilvl="2" w:tplc="EFF678FE">
      <w:start w:val="1"/>
      <w:numFmt w:val="decimal"/>
      <w:lvlText w:val="%3."/>
      <w:lvlJc w:val="left"/>
      <w:pPr>
        <w:tabs>
          <w:tab w:val="num" w:pos="2160"/>
        </w:tabs>
        <w:ind w:left="2160" w:hanging="360"/>
      </w:pPr>
    </w:lvl>
    <w:lvl w:ilvl="3" w:tplc="13201964">
      <w:start w:val="1"/>
      <w:numFmt w:val="decimal"/>
      <w:lvlText w:val="%4."/>
      <w:lvlJc w:val="left"/>
      <w:pPr>
        <w:tabs>
          <w:tab w:val="num" w:pos="2880"/>
        </w:tabs>
        <w:ind w:left="2880" w:hanging="360"/>
      </w:pPr>
    </w:lvl>
    <w:lvl w:ilvl="4" w:tplc="621A0EC4">
      <w:start w:val="1"/>
      <w:numFmt w:val="decimal"/>
      <w:lvlText w:val="%5."/>
      <w:lvlJc w:val="left"/>
      <w:pPr>
        <w:tabs>
          <w:tab w:val="num" w:pos="3600"/>
        </w:tabs>
        <w:ind w:left="3600" w:hanging="360"/>
      </w:pPr>
    </w:lvl>
    <w:lvl w:ilvl="5" w:tplc="D618D288">
      <w:start w:val="1"/>
      <w:numFmt w:val="decimal"/>
      <w:lvlText w:val="%6."/>
      <w:lvlJc w:val="left"/>
      <w:pPr>
        <w:tabs>
          <w:tab w:val="num" w:pos="4320"/>
        </w:tabs>
        <w:ind w:left="4320" w:hanging="360"/>
      </w:pPr>
    </w:lvl>
    <w:lvl w:ilvl="6" w:tplc="2FA076F4">
      <w:start w:val="1"/>
      <w:numFmt w:val="decimal"/>
      <w:lvlText w:val="%7."/>
      <w:lvlJc w:val="left"/>
      <w:pPr>
        <w:tabs>
          <w:tab w:val="num" w:pos="5040"/>
        </w:tabs>
        <w:ind w:left="5040" w:hanging="360"/>
      </w:pPr>
    </w:lvl>
    <w:lvl w:ilvl="7" w:tplc="027EE9F2">
      <w:start w:val="1"/>
      <w:numFmt w:val="decimal"/>
      <w:lvlText w:val="%8."/>
      <w:lvlJc w:val="left"/>
      <w:pPr>
        <w:tabs>
          <w:tab w:val="num" w:pos="5760"/>
        </w:tabs>
        <w:ind w:left="5760" w:hanging="360"/>
      </w:pPr>
    </w:lvl>
    <w:lvl w:ilvl="8" w:tplc="AF0CDED0">
      <w:start w:val="1"/>
      <w:numFmt w:val="decimal"/>
      <w:lvlText w:val="%9."/>
      <w:lvlJc w:val="left"/>
      <w:pPr>
        <w:tabs>
          <w:tab w:val="num" w:pos="6480"/>
        </w:tabs>
        <w:ind w:left="6480" w:hanging="360"/>
      </w:pPr>
    </w:lvl>
  </w:abstractNum>
  <w:abstractNum w:abstractNumId="4">
    <w:nsid w:val="1E6114B6"/>
    <w:multiLevelType w:val="multilevel"/>
    <w:tmpl w:val="FFD66A1E"/>
    <w:lvl w:ilvl="0">
      <w:start w:val="1"/>
      <w:numFmt w:val="decimal"/>
      <w:lvlText w:val="%1."/>
      <w:lvlJc w:val="left"/>
      <w:pPr>
        <w:ind w:left="1440" w:hanging="360"/>
      </w:pPr>
    </w:lvl>
    <w:lvl w:ilvl="1">
      <w:start w:val="2"/>
      <w:numFmt w:val="decimal"/>
      <w:isLgl/>
      <w:lvlText w:val="%1.%2"/>
      <w:lvlJc w:val="left"/>
      <w:pPr>
        <w:ind w:left="1560" w:hanging="480"/>
      </w:pPr>
    </w:lvl>
    <w:lvl w:ilvl="2">
      <w:start w:val="2"/>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5">
    <w:nsid w:val="1F4845B8"/>
    <w:multiLevelType w:val="multilevel"/>
    <w:tmpl w:val="878C9300"/>
    <w:lvl w:ilvl="0">
      <w:start w:val="4"/>
      <w:numFmt w:val="decimal"/>
      <w:lvlText w:val="%1"/>
      <w:lvlJc w:val="left"/>
      <w:pPr>
        <w:ind w:left="660" w:hanging="660"/>
      </w:pPr>
    </w:lvl>
    <w:lvl w:ilvl="1">
      <w:start w:val="1"/>
      <w:numFmt w:val="decimal"/>
      <w:lvlText w:val="%1.%2"/>
      <w:lvlJc w:val="left"/>
      <w:pPr>
        <w:ind w:left="900" w:hanging="660"/>
      </w:pPr>
    </w:lvl>
    <w:lvl w:ilvl="2">
      <w:start w:val="2"/>
      <w:numFmt w:val="decimal"/>
      <w:lvlText w:val="%1.%2.%3"/>
      <w:lvlJc w:val="left"/>
      <w:pPr>
        <w:ind w:left="1200" w:hanging="720"/>
      </w:pPr>
      <w:rPr>
        <w:sz w:val="24"/>
        <w:szCs w:val="24"/>
      </w:r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6">
    <w:nsid w:val="24383FB9"/>
    <w:multiLevelType w:val="hybridMultilevel"/>
    <w:tmpl w:val="58BA6B22"/>
    <w:lvl w:ilvl="0" w:tplc="D20E11FE">
      <w:start w:val="1"/>
      <w:numFmt w:val="decimal"/>
      <w:lvlText w:val="%1."/>
      <w:lvlJc w:val="left"/>
      <w:pPr>
        <w:ind w:left="927" w:hanging="360"/>
      </w:pPr>
    </w:lvl>
    <w:lvl w:ilvl="1" w:tplc="B8365F28">
      <w:start w:val="1"/>
      <w:numFmt w:val="decimal"/>
      <w:lvlText w:val="%2."/>
      <w:lvlJc w:val="left"/>
      <w:pPr>
        <w:tabs>
          <w:tab w:val="num" w:pos="1440"/>
        </w:tabs>
        <w:ind w:left="1440" w:hanging="360"/>
      </w:pPr>
    </w:lvl>
    <w:lvl w:ilvl="2" w:tplc="0096F9C8">
      <w:start w:val="1"/>
      <w:numFmt w:val="decimal"/>
      <w:lvlText w:val="%3."/>
      <w:lvlJc w:val="left"/>
      <w:pPr>
        <w:tabs>
          <w:tab w:val="num" w:pos="2160"/>
        </w:tabs>
        <w:ind w:left="2160" w:hanging="360"/>
      </w:pPr>
    </w:lvl>
    <w:lvl w:ilvl="3" w:tplc="29CA97FE">
      <w:start w:val="1"/>
      <w:numFmt w:val="decimal"/>
      <w:lvlText w:val="%4."/>
      <w:lvlJc w:val="left"/>
      <w:pPr>
        <w:tabs>
          <w:tab w:val="num" w:pos="2880"/>
        </w:tabs>
        <w:ind w:left="2880" w:hanging="360"/>
      </w:pPr>
    </w:lvl>
    <w:lvl w:ilvl="4" w:tplc="774613A6">
      <w:start w:val="1"/>
      <w:numFmt w:val="decimal"/>
      <w:lvlText w:val="%5."/>
      <w:lvlJc w:val="left"/>
      <w:pPr>
        <w:tabs>
          <w:tab w:val="num" w:pos="3600"/>
        </w:tabs>
        <w:ind w:left="3600" w:hanging="360"/>
      </w:pPr>
    </w:lvl>
    <w:lvl w:ilvl="5" w:tplc="03E02C3A">
      <w:start w:val="1"/>
      <w:numFmt w:val="decimal"/>
      <w:lvlText w:val="%6."/>
      <w:lvlJc w:val="left"/>
      <w:pPr>
        <w:tabs>
          <w:tab w:val="num" w:pos="4320"/>
        </w:tabs>
        <w:ind w:left="4320" w:hanging="360"/>
      </w:pPr>
    </w:lvl>
    <w:lvl w:ilvl="6" w:tplc="38AEF474">
      <w:start w:val="1"/>
      <w:numFmt w:val="decimal"/>
      <w:lvlText w:val="%7."/>
      <w:lvlJc w:val="left"/>
      <w:pPr>
        <w:tabs>
          <w:tab w:val="num" w:pos="5040"/>
        </w:tabs>
        <w:ind w:left="5040" w:hanging="360"/>
      </w:pPr>
    </w:lvl>
    <w:lvl w:ilvl="7" w:tplc="D0F6F7DC">
      <w:start w:val="1"/>
      <w:numFmt w:val="decimal"/>
      <w:lvlText w:val="%8."/>
      <w:lvlJc w:val="left"/>
      <w:pPr>
        <w:tabs>
          <w:tab w:val="num" w:pos="5760"/>
        </w:tabs>
        <w:ind w:left="5760" w:hanging="360"/>
      </w:pPr>
    </w:lvl>
    <w:lvl w:ilvl="8" w:tplc="68F87774">
      <w:start w:val="1"/>
      <w:numFmt w:val="decimal"/>
      <w:lvlText w:val="%9."/>
      <w:lvlJc w:val="left"/>
      <w:pPr>
        <w:tabs>
          <w:tab w:val="num" w:pos="6480"/>
        </w:tabs>
        <w:ind w:left="6480" w:hanging="360"/>
      </w:pPr>
    </w:lvl>
  </w:abstractNum>
  <w:abstractNum w:abstractNumId="7">
    <w:nsid w:val="24ED4DD2"/>
    <w:multiLevelType w:val="hybridMultilevel"/>
    <w:tmpl w:val="DE223A5C"/>
    <w:lvl w:ilvl="0" w:tplc="688A0C00">
      <w:start w:val="1"/>
      <w:numFmt w:val="decimal"/>
      <w:lvlText w:val="%1."/>
      <w:lvlJc w:val="left"/>
      <w:pPr>
        <w:ind w:left="1440" w:hanging="360"/>
      </w:pPr>
    </w:lvl>
    <w:lvl w:ilvl="1" w:tplc="C434BA1A" w:tentative="1">
      <w:start w:val="1"/>
      <w:numFmt w:val="lowerLetter"/>
      <w:lvlText w:val="%2."/>
      <w:lvlJc w:val="left"/>
      <w:pPr>
        <w:ind w:left="2160" w:hanging="360"/>
      </w:pPr>
    </w:lvl>
    <w:lvl w:ilvl="2" w:tplc="F54E6CF2" w:tentative="1">
      <w:start w:val="1"/>
      <w:numFmt w:val="lowerRoman"/>
      <w:lvlText w:val="%3."/>
      <w:lvlJc w:val="right"/>
      <w:pPr>
        <w:ind w:left="2880" w:hanging="180"/>
      </w:pPr>
    </w:lvl>
    <w:lvl w:ilvl="3" w:tplc="136A4AA4" w:tentative="1">
      <w:start w:val="1"/>
      <w:numFmt w:val="decimal"/>
      <w:lvlText w:val="%4."/>
      <w:lvlJc w:val="left"/>
      <w:pPr>
        <w:ind w:left="3600" w:hanging="360"/>
      </w:pPr>
    </w:lvl>
    <w:lvl w:ilvl="4" w:tplc="03FADA5C" w:tentative="1">
      <w:start w:val="1"/>
      <w:numFmt w:val="lowerLetter"/>
      <w:lvlText w:val="%5."/>
      <w:lvlJc w:val="left"/>
      <w:pPr>
        <w:ind w:left="4320" w:hanging="360"/>
      </w:pPr>
    </w:lvl>
    <w:lvl w:ilvl="5" w:tplc="8A6E41B6" w:tentative="1">
      <w:start w:val="1"/>
      <w:numFmt w:val="lowerRoman"/>
      <w:lvlText w:val="%6."/>
      <w:lvlJc w:val="right"/>
      <w:pPr>
        <w:ind w:left="5040" w:hanging="180"/>
      </w:pPr>
    </w:lvl>
    <w:lvl w:ilvl="6" w:tplc="38A0C684" w:tentative="1">
      <w:start w:val="1"/>
      <w:numFmt w:val="decimal"/>
      <w:lvlText w:val="%7."/>
      <w:lvlJc w:val="left"/>
      <w:pPr>
        <w:ind w:left="5760" w:hanging="360"/>
      </w:pPr>
    </w:lvl>
    <w:lvl w:ilvl="7" w:tplc="65AE21E8" w:tentative="1">
      <w:start w:val="1"/>
      <w:numFmt w:val="lowerLetter"/>
      <w:lvlText w:val="%8."/>
      <w:lvlJc w:val="left"/>
      <w:pPr>
        <w:ind w:left="6480" w:hanging="360"/>
      </w:pPr>
    </w:lvl>
    <w:lvl w:ilvl="8" w:tplc="48160664" w:tentative="1">
      <w:start w:val="1"/>
      <w:numFmt w:val="lowerRoman"/>
      <w:lvlText w:val="%9."/>
      <w:lvlJc w:val="right"/>
      <w:pPr>
        <w:ind w:left="7200" w:hanging="180"/>
      </w:pPr>
    </w:lvl>
  </w:abstractNum>
  <w:abstractNum w:abstractNumId="8">
    <w:nsid w:val="26BA55BA"/>
    <w:multiLevelType w:val="multilevel"/>
    <w:tmpl w:val="CE786EC4"/>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720" w:hanging="720"/>
      </w:pPr>
      <w:rPr>
        <w:b/>
        <w:i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6D03806"/>
    <w:multiLevelType w:val="hybridMultilevel"/>
    <w:tmpl w:val="FD900DD6"/>
    <w:lvl w:ilvl="0" w:tplc="1DF48116">
      <w:start w:val="1"/>
      <w:numFmt w:val="decimal"/>
      <w:lvlText w:val="%1)"/>
      <w:lvlJc w:val="left"/>
      <w:pPr>
        <w:ind w:left="360" w:hanging="360"/>
      </w:pPr>
      <w:rPr>
        <w:i w:val="0"/>
      </w:rPr>
    </w:lvl>
    <w:lvl w:ilvl="1" w:tplc="A5C06A6E">
      <w:start w:val="1"/>
      <w:numFmt w:val="decimal"/>
      <w:lvlText w:val="%2."/>
      <w:lvlJc w:val="left"/>
      <w:pPr>
        <w:tabs>
          <w:tab w:val="num" w:pos="1440"/>
        </w:tabs>
        <w:ind w:left="1440" w:hanging="360"/>
      </w:pPr>
    </w:lvl>
    <w:lvl w:ilvl="2" w:tplc="5B484F12">
      <w:start w:val="1"/>
      <w:numFmt w:val="decimal"/>
      <w:lvlText w:val="%3."/>
      <w:lvlJc w:val="left"/>
      <w:pPr>
        <w:tabs>
          <w:tab w:val="num" w:pos="2160"/>
        </w:tabs>
        <w:ind w:left="2160" w:hanging="360"/>
      </w:pPr>
    </w:lvl>
    <w:lvl w:ilvl="3" w:tplc="ECA2A15E">
      <w:start w:val="1"/>
      <w:numFmt w:val="decimal"/>
      <w:lvlText w:val="%4."/>
      <w:lvlJc w:val="left"/>
      <w:pPr>
        <w:tabs>
          <w:tab w:val="num" w:pos="2880"/>
        </w:tabs>
        <w:ind w:left="2880" w:hanging="360"/>
      </w:pPr>
    </w:lvl>
    <w:lvl w:ilvl="4" w:tplc="15A0E1EA">
      <w:start w:val="1"/>
      <w:numFmt w:val="decimal"/>
      <w:lvlText w:val="%5."/>
      <w:lvlJc w:val="left"/>
      <w:pPr>
        <w:tabs>
          <w:tab w:val="num" w:pos="3600"/>
        </w:tabs>
        <w:ind w:left="3600" w:hanging="360"/>
      </w:pPr>
    </w:lvl>
    <w:lvl w:ilvl="5" w:tplc="833C3676">
      <w:start w:val="1"/>
      <w:numFmt w:val="decimal"/>
      <w:lvlText w:val="%6."/>
      <w:lvlJc w:val="left"/>
      <w:pPr>
        <w:tabs>
          <w:tab w:val="num" w:pos="4320"/>
        </w:tabs>
        <w:ind w:left="4320" w:hanging="360"/>
      </w:pPr>
    </w:lvl>
    <w:lvl w:ilvl="6" w:tplc="99CCD7A0">
      <w:start w:val="1"/>
      <w:numFmt w:val="decimal"/>
      <w:lvlText w:val="%7."/>
      <w:lvlJc w:val="left"/>
      <w:pPr>
        <w:tabs>
          <w:tab w:val="num" w:pos="5040"/>
        </w:tabs>
        <w:ind w:left="5040" w:hanging="360"/>
      </w:pPr>
    </w:lvl>
    <w:lvl w:ilvl="7" w:tplc="A1966AEE">
      <w:start w:val="1"/>
      <w:numFmt w:val="decimal"/>
      <w:lvlText w:val="%8."/>
      <w:lvlJc w:val="left"/>
      <w:pPr>
        <w:tabs>
          <w:tab w:val="num" w:pos="5760"/>
        </w:tabs>
        <w:ind w:left="5760" w:hanging="360"/>
      </w:pPr>
    </w:lvl>
    <w:lvl w:ilvl="8" w:tplc="858811B4">
      <w:start w:val="1"/>
      <w:numFmt w:val="decimal"/>
      <w:lvlText w:val="%9."/>
      <w:lvlJc w:val="left"/>
      <w:pPr>
        <w:tabs>
          <w:tab w:val="num" w:pos="6480"/>
        </w:tabs>
        <w:ind w:left="6480" w:hanging="360"/>
      </w:pPr>
    </w:lvl>
  </w:abstractNum>
  <w:abstractNum w:abstractNumId="10">
    <w:nsid w:val="271E5285"/>
    <w:multiLevelType w:val="hybridMultilevel"/>
    <w:tmpl w:val="15DE59EE"/>
    <w:lvl w:ilvl="0" w:tplc="02140E52">
      <w:start w:val="1"/>
      <w:numFmt w:val="decimal"/>
      <w:lvlText w:val="%1."/>
      <w:lvlJc w:val="left"/>
      <w:pPr>
        <w:ind w:left="720" w:hanging="360"/>
      </w:pPr>
      <w:rPr>
        <w:rFonts w:hint="default"/>
      </w:rPr>
    </w:lvl>
    <w:lvl w:ilvl="1" w:tplc="ABAA405C" w:tentative="1">
      <w:start w:val="1"/>
      <w:numFmt w:val="lowerLetter"/>
      <w:lvlText w:val="%2."/>
      <w:lvlJc w:val="left"/>
      <w:pPr>
        <w:ind w:left="1440" w:hanging="360"/>
      </w:pPr>
    </w:lvl>
    <w:lvl w:ilvl="2" w:tplc="9640A886" w:tentative="1">
      <w:start w:val="1"/>
      <w:numFmt w:val="lowerRoman"/>
      <w:lvlText w:val="%3."/>
      <w:lvlJc w:val="right"/>
      <w:pPr>
        <w:ind w:left="2160" w:hanging="180"/>
      </w:pPr>
    </w:lvl>
    <w:lvl w:ilvl="3" w:tplc="955C5200" w:tentative="1">
      <w:start w:val="1"/>
      <w:numFmt w:val="decimal"/>
      <w:lvlText w:val="%4."/>
      <w:lvlJc w:val="left"/>
      <w:pPr>
        <w:ind w:left="2880" w:hanging="360"/>
      </w:pPr>
    </w:lvl>
    <w:lvl w:ilvl="4" w:tplc="486CC774" w:tentative="1">
      <w:start w:val="1"/>
      <w:numFmt w:val="lowerLetter"/>
      <w:lvlText w:val="%5."/>
      <w:lvlJc w:val="left"/>
      <w:pPr>
        <w:ind w:left="3600" w:hanging="360"/>
      </w:pPr>
    </w:lvl>
    <w:lvl w:ilvl="5" w:tplc="27A8BF96" w:tentative="1">
      <w:start w:val="1"/>
      <w:numFmt w:val="lowerRoman"/>
      <w:lvlText w:val="%6."/>
      <w:lvlJc w:val="right"/>
      <w:pPr>
        <w:ind w:left="4320" w:hanging="180"/>
      </w:pPr>
    </w:lvl>
    <w:lvl w:ilvl="6" w:tplc="539AA0CE" w:tentative="1">
      <w:start w:val="1"/>
      <w:numFmt w:val="decimal"/>
      <w:lvlText w:val="%7."/>
      <w:lvlJc w:val="left"/>
      <w:pPr>
        <w:ind w:left="5040" w:hanging="360"/>
      </w:pPr>
    </w:lvl>
    <w:lvl w:ilvl="7" w:tplc="88140F26" w:tentative="1">
      <w:start w:val="1"/>
      <w:numFmt w:val="lowerLetter"/>
      <w:lvlText w:val="%8."/>
      <w:lvlJc w:val="left"/>
      <w:pPr>
        <w:ind w:left="5760" w:hanging="360"/>
      </w:pPr>
    </w:lvl>
    <w:lvl w:ilvl="8" w:tplc="78863364" w:tentative="1">
      <w:start w:val="1"/>
      <w:numFmt w:val="lowerRoman"/>
      <w:lvlText w:val="%9."/>
      <w:lvlJc w:val="right"/>
      <w:pPr>
        <w:ind w:left="6480" w:hanging="180"/>
      </w:pPr>
    </w:lvl>
  </w:abstractNum>
  <w:abstractNum w:abstractNumId="11">
    <w:nsid w:val="3AF626FC"/>
    <w:multiLevelType w:val="hybridMultilevel"/>
    <w:tmpl w:val="D8365336"/>
    <w:lvl w:ilvl="0" w:tplc="7946D024">
      <w:start w:val="1"/>
      <w:numFmt w:val="decimal"/>
      <w:lvlText w:val="%1."/>
      <w:lvlJc w:val="left"/>
      <w:pPr>
        <w:ind w:left="927" w:hanging="360"/>
      </w:pPr>
    </w:lvl>
    <w:lvl w:ilvl="1" w:tplc="86364048">
      <w:start w:val="1"/>
      <w:numFmt w:val="decimal"/>
      <w:lvlText w:val="%2."/>
      <w:lvlJc w:val="left"/>
      <w:pPr>
        <w:tabs>
          <w:tab w:val="num" w:pos="1440"/>
        </w:tabs>
        <w:ind w:left="1440" w:hanging="360"/>
      </w:pPr>
    </w:lvl>
    <w:lvl w:ilvl="2" w:tplc="8EBC62D8">
      <w:start w:val="1"/>
      <w:numFmt w:val="decimal"/>
      <w:lvlText w:val="%3."/>
      <w:lvlJc w:val="left"/>
      <w:pPr>
        <w:tabs>
          <w:tab w:val="num" w:pos="2160"/>
        </w:tabs>
        <w:ind w:left="2160" w:hanging="360"/>
      </w:pPr>
    </w:lvl>
    <w:lvl w:ilvl="3" w:tplc="5C3E14D8">
      <w:start w:val="1"/>
      <w:numFmt w:val="decimal"/>
      <w:lvlText w:val="%4."/>
      <w:lvlJc w:val="left"/>
      <w:pPr>
        <w:tabs>
          <w:tab w:val="num" w:pos="2880"/>
        </w:tabs>
        <w:ind w:left="2880" w:hanging="360"/>
      </w:pPr>
    </w:lvl>
    <w:lvl w:ilvl="4" w:tplc="EEC6A9B0">
      <w:start w:val="1"/>
      <w:numFmt w:val="decimal"/>
      <w:lvlText w:val="%5."/>
      <w:lvlJc w:val="left"/>
      <w:pPr>
        <w:tabs>
          <w:tab w:val="num" w:pos="3600"/>
        </w:tabs>
        <w:ind w:left="3600" w:hanging="360"/>
      </w:pPr>
    </w:lvl>
    <w:lvl w:ilvl="5" w:tplc="478AF562">
      <w:start w:val="1"/>
      <w:numFmt w:val="decimal"/>
      <w:lvlText w:val="%6."/>
      <w:lvlJc w:val="left"/>
      <w:pPr>
        <w:tabs>
          <w:tab w:val="num" w:pos="4320"/>
        </w:tabs>
        <w:ind w:left="4320" w:hanging="360"/>
      </w:pPr>
    </w:lvl>
    <w:lvl w:ilvl="6" w:tplc="3A38DE16">
      <w:start w:val="1"/>
      <w:numFmt w:val="decimal"/>
      <w:lvlText w:val="%7."/>
      <w:lvlJc w:val="left"/>
      <w:pPr>
        <w:tabs>
          <w:tab w:val="num" w:pos="5040"/>
        </w:tabs>
        <w:ind w:left="5040" w:hanging="360"/>
      </w:pPr>
    </w:lvl>
    <w:lvl w:ilvl="7" w:tplc="9026AEA4">
      <w:start w:val="1"/>
      <w:numFmt w:val="decimal"/>
      <w:lvlText w:val="%8."/>
      <w:lvlJc w:val="left"/>
      <w:pPr>
        <w:tabs>
          <w:tab w:val="num" w:pos="5760"/>
        </w:tabs>
        <w:ind w:left="5760" w:hanging="360"/>
      </w:pPr>
    </w:lvl>
    <w:lvl w:ilvl="8" w:tplc="6246849E">
      <w:start w:val="1"/>
      <w:numFmt w:val="decimal"/>
      <w:lvlText w:val="%9."/>
      <w:lvlJc w:val="left"/>
      <w:pPr>
        <w:tabs>
          <w:tab w:val="num" w:pos="6480"/>
        </w:tabs>
        <w:ind w:left="6480" w:hanging="360"/>
      </w:pPr>
    </w:lvl>
  </w:abstractNum>
  <w:abstractNum w:abstractNumId="12">
    <w:nsid w:val="3CF848CF"/>
    <w:multiLevelType w:val="multilevel"/>
    <w:tmpl w:val="6B343156"/>
    <w:lvl w:ilvl="0">
      <w:start w:val="1"/>
      <w:numFmt w:val="decimal"/>
      <w:lvlText w:val="%1."/>
      <w:lvlJc w:val="left"/>
      <w:pPr>
        <w:ind w:left="786" w:hanging="360"/>
      </w:pPr>
    </w:lvl>
    <w:lvl w:ilvl="1">
      <w:start w:val="2"/>
      <w:numFmt w:val="decimal"/>
      <w:isLgl/>
      <w:lvlText w:val="%1.%2"/>
      <w:lvlJc w:val="left"/>
      <w:pPr>
        <w:ind w:left="1233" w:hanging="480"/>
      </w:pPr>
    </w:lvl>
    <w:lvl w:ilvl="2">
      <w:start w:val="2"/>
      <w:numFmt w:val="decimal"/>
      <w:isLgl/>
      <w:lvlText w:val="%1.%2.%3"/>
      <w:lvlJc w:val="left"/>
      <w:pPr>
        <w:ind w:left="1800" w:hanging="720"/>
      </w:pPr>
    </w:lvl>
    <w:lvl w:ilvl="3">
      <w:start w:val="1"/>
      <w:numFmt w:val="decimal"/>
      <w:isLgl/>
      <w:lvlText w:val="%1.%2.%3.%4"/>
      <w:lvlJc w:val="left"/>
      <w:pPr>
        <w:ind w:left="2127" w:hanging="720"/>
      </w:pPr>
    </w:lvl>
    <w:lvl w:ilvl="4">
      <w:start w:val="1"/>
      <w:numFmt w:val="decimal"/>
      <w:isLgl/>
      <w:lvlText w:val="%1.%2.%3.%4.%5"/>
      <w:lvlJc w:val="left"/>
      <w:pPr>
        <w:ind w:left="2814" w:hanging="1080"/>
      </w:pPr>
    </w:lvl>
    <w:lvl w:ilvl="5">
      <w:start w:val="1"/>
      <w:numFmt w:val="decimal"/>
      <w:isLgl/>
      <w:lvlText w:val="%1.%2.%3.%4.%5.%6"/>
      <w:lvlJc w:val="left"/>
      <w:pPr>
        <w:ind w:left="3141" w:hanging="1080"/>
      </w:pPr>
    </w:lvl>
    <w:lvl w:ilvl="6">
      <w:start w:val="1"/>
      <w:numFmt w:val="decimal"/>
      <w:isLgl/>
      <w:lvlText w:val="%1.%2.%3.%4.%5.%6.%7"/>
      <w:lvlJc w:val="left"/>
      <w:pPr>
        <w:ind w:left="3828" w:hanging="1440"/>
      </w:pPr>
    </w:lvl>
    <w:lvl w:ilvl="7">
      <w:start w:val="1"/>
      <w:numFmt w:val="decimal"/>
      <w:isLgl/>
      <w:lvlText w:val="%1.%2.%3.%4.%5.%6.%7.%8"/>
      <w:lvlJc w:val="left"/>
      <w:pPr>
        <w:ind w:left="4155" w:hanging="1440"/>
      </w:pPr>
    </w:lvl>
    <w:lvl w:ilvl="8">
      <w:start w:val="1"/>
      <w:numFmt w:val="decimal"/>
      <w:isLgl/>
      <w:lvlText w:val="%1.%2.%3.%4.%5.%6.%7.%8.%9"/>
      <w:lvlJc w:val="left"/>
      <w:pPr>
        <w:ind w:left="4842" w:hanging="1800"/>
      </w:pPr>
    </w:lvl>
  </w:abstractNum>
  <w:abstractNum w:abstractNumId="13">
    <w:nsid w:val="56E00790"/>
    <w:multiLevelType w:val="hybridMultilevel"/>
    <w:tmpl w:val="B5864B8A"/>
    <w:lvl w:ilvl="0" w:tplc="E6E6CC64">
      <w:start w:val="1"/>
      <w:numFmt w:val="decimal"/>
      <w:lvlText w:val="%1."/>
      <w:lvlJc w:val="left"/>
      <w:pPr>
        <w:ind w:left="1440" w:hanging="360"/>
      </w:pPr>
    </w:lvl>
    <w:lvl w:ilvl="1" w:tplc="CDA23FC8">
      <w:start w:val="1"/>
      <w:numFmt w:val="decimal"/>
      <w:lvlText w:val="%2."/>
      <w:lvlJc w:val="left"/>
      <w:pPr>
        <w:tabs>
          <w:tab w:val="num" w:pos="1440"/>
        </w:tabs>
        <w:ind w:left="1440" w:hanging="360"/>
      </w:pPr>
    </w:lvl>
    <w:lvl w:ilvl="2" w:tplc="4ED820E0">
      <w:start w:val="1"/>
      <w:numFmt w:val="decimal"/>
      <w:lvlText w:val="%3."/>
      <w:lvlJc w:val="left"/>
      <w:pPr>
        <w:tabs>
          <w:tab w:val="num" w:pos="2160"/>
        </w:tabs>
        <w:ind w:left="2160" w:hanging="360"/>
      </w:pPr>
    </w:lvl>
    <w:lvl w:ilvl="3" w:tplc="BA9ED366">
      <w:start w:val="1"/>
      <w:numFmt w:val="decimal"/>
      <w:lvlText w:val="%4."/>
      <w:lvlJc w:val="left"/>
      <w:pPr>
        <w:tabs>
          <w:tab w:val="num" w:pos="2880"/>
        </w:tabs>
        <w:ind w:left="2880" w:hanging="360"/>
      </w:pPr>
    </w:lvl>
    <w:lvl w:ilvl="4" w:tplc="96083274">
      <w:start w:val="1"/>
      <w:numFmt w:val="decimal"/>
      <w:lvlText w:val="%5."/>
      <w:lvlJc w:val="left"/>
      <w:pPr>
        <w:tabs>
          <w:tab w:val="num" w:pos="3600"/>
        </w:tabs>
        <w:ind w:left="3600" w:hanging="360"/>
      </w:pPr>
    </w:lvl>
    <w:lvl w:ilvl="5" w:tplc="E1E6D15E">
      <w:start w:val="1"/>
      <w:numFmt w:val="decimal"/>
      <w:lvlText w:val="%6."/>
      <w:lvlJc w:val="left"/>
      <w:pPr>
        <w:tabs>
          <w:tab w:val="num" w:pos="4320"/>
        </w:tabs>
        <w:ind w:left="4320" w:hanging="360"/>
      </w:pPr>
    </w:lvl>
    <w:lvl w:ilvl="6" w:tplc="8B46911A">
      <w:start w:val="1"/>
      <w:numFmt w:val="decimal"/>
      <w:lvlText w:val="%7."/>
      <w:lvlJc w:val="left"/>
      <w:pPr>
        <w:tabs>
          <w:tab w:val="num" w:pos="5040"/>
        </w:tabs>
        <w:ind w:left="5040" w:hanging="360"/>
      </w:pPr>
    </w:lvl>
    <w:lvl w:ilvl="7" w:tplc="2940F68E">
      <w:start w:val="1"/>
      <w:numFmt w:val="decimal"/>
      <w:lvlText w:val="%8."/>
      <w:lvlJc w:val="left"/>
      <w:pPr>
        <w:tabs>
          <w:tab w:val="num" w:pos="5760"/>
        </w:tabs>
        <w:ind w:left="5760" w:hanging="360"/>
      </w:pPr>
    </w:lvl>
    <w:lvl w:ilvl="8" w:tplc="4B94CBA6">
      <w:start w:val="1"/>
      <w:numFmt w:val="decimal"/>
      <w:lvlText w:val="%9."/>
      <w:lvlJc w:val="left"/>
      <w:pPr>
        <w:tabs>
          <w:tab w:val="num" w:pos="6480"/>
        </w:tabs>
        <w:ind w:left="6480" w:hanging="360"/>
      </w:pPr>
    </w:lvl>
  </w:abstractNum>
  <w:abstractNum w:abstractNumId="14">
    <w:nsid w:val="64195EC9"/>
    <w:multiLevelType w:val="multilevel"/>
    <w:tmpl w:val="22080736"/>
    <w:lvl w:ilvl="0">
      <w:start w:val="3"/>
      <w:numFmt w:val="decimal"/>
      <w:lvlText w:val="%1"/>
      <w:lvlJc w:val="left"/>
      <w:pPr>
        <w:ind w:left="480" w:hanging="480"/>
      </w:pPr>
    </w:lvl>
    <w:lvl w:ilvl="1">
      <w:start w:val="4"/>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64711FD9"/>
    <w:multiLevelType w:val="multilevel"/>
    <w:tmpl w:val="0210881A"/>
    <w:lvl w:ilvl="0">
      <w:start w:val="4"/>
      <w:numFmt w:val="decimal"/>
      <w:lvlText w:val="%1"/>
      <w:lvlJc w:val="left"/>
      <w:pPr>
        <w:ind w:left="840" w:hanging="840"/>
      </w:pPr>
    </w:lvl>
    <w:lvl w:ilvl="1">
      <w:start w:val="1"/>
      <w:numFmt w:val="decimal"/>
      <w:lvlText w:val="%1.%2"/>
      <w:lvlJc w:val="left"/>
      <w:pPr>
        <w:ind w:left="946" w:hanging="840"/>
      </w:pPr>
    </w:lvl>
    <w:lvl w:ilvl="2">
      <w:start w:val="3"/>
      <w:numFmt w:val="decimal"/>
      <w:lvlText w:val="%1.%2.%3"/>
      <w:lvlJc w:val="left"/>
      <w:pPr>
        <w:ind w:left="1052" w:hanging="840"/>
      </w:pPr>
    </w:lvl>
    <w:lvl w:ilvl="3">
      <w:start w:val="3"/>
      <w:numFmt w:val="decimal"/>
      <w:lvlText w:val="%1.%2.%3.%4"/>
      <w:lvlJc w:val="left"/>
      <w:pPr>
        <w:ind w:left="1158" w:hanging="840"/>
      </w:pPr>
    </w:lvl>
    <w:lvl w:ilvl="4">
      <w:start w:val="1"/>
      <w:numFmt w:val="decimal"/>
      <w:lvlText w:val="%1.%2.%3.%4.%5"/>
      <w:lvlJc w:val="left"/>
      <w:pPr>
        <w:ind w:left="1504" w:hanging="1080"/>
      </w:pPr>
    </w:lvl>
    <w:lvl w:ilvl="5">
      <w:start w:val="1"/>
      <w:numFmt w:val="decimal"/>
      <w:lvlText w:val="%1.%2.%3.%4.%5.%6"/>
      <w:lvlJc w:val="left"/>
      <w:pPr>
        <w:ind w:left="1610" w:hanging="1080"/>
      </w:pPr>
    </w:lvl>
    <w:lvl w:ilvl="6">
      <w:start w:val="1"/>
      <w:numFmt w:val="decimal"/>
      <w:lvlText w:val="%1.%2.%3.%4.%5.%6.%7"/>
      <w:lvlJc w:val="left"/>
      <w:pPr>
        <w:ind w:left="2076" w:hanging="1440"/>
      </w:pPr>
    </w:lvl>
    <w:lvl w:ilvl="7">
      <w:start w:val="1"/>
      <w:numFmt w:val="decimal"/>
      <w:lvlText w:val="%1.%2.%3.%4.%5.%6.%7.%8"/>
      <w:lvlJc w:val="left"/>
      <w:pPr>
        <w:ind w:left="2182" w:hanging="1440"/>
      </w:pPr>
    </w:lvl>
    <w:lvl w:ilvl="8">
      <w:start w:val="1"/>
      <w:numFmt w:val="decimal"/>
      <w:lvlText w:val="%1.%2.%3.%4.%5.%6.%7.%8.%9"/>
      <w:lvlJc w:val="left"/>
      <w:pPr>
        <w:ind w:left="2648" w:hanging="1800"/>
      </w:pPr>
    </w:lvl>
  </w:abstractNum>
  <w:abstractNum w:abstractNumId="16">
    <w:nsid w:val="64E15385"/>
    <w:multiLevelType w:val="hybridMultilevel"/>
    <w:tmpl w:val="F26CDC76"/>
    <w:lvl w:ilvl="0" w:tplc="91003614">
      <w:start w:val="1"/>
      <w:numFmt w:val="decimal"/>
      <w:lvlText w:val="%1)"/>
      <w:lvlJc w:val="left"/>
      <w:pPr>
        <w:ind w:left="720" w:hanging="360"/>
      </w:pPr>
    </w:lvl>
    <w:lvl w:ilvl="1" w:tplc="229AB9D8">
      <w:start w:val="1"/>
      <w:numFmt w:val="decimal"/>
      <w:lvlText w:val="%2."/>
      <w:lvlJc w:val="left"/>
      <w:pPr>
        <w:tabs>
          <w:tab w:val="num" w:pos="1440"/>
        </w:tabs>
        <w:ind w:left="1440" w:hanging="360"/>
      </w:pPr>
    </w:lvl>
    <w:lvl w:ilvl="2" w:tplc="12AEF528">
      <w:start w:val="1"/>
      <w:numFmt w:val="decimal"/>
      <w:lvlText w:val="%3."/>
      <w:lvlJc w:val="left"/>
      <w:pPr>
        <w:tabs>
          <w:tab w:val="num" w:pos="2160"/>
        </w:tabs>
        <w:ind w:left="2160" w:hanging="360"/>
      </w:pPr>
    </w:lvl>
    <w:lvl w:ilvl="3" w:tplc="B150F884">
      <w:start w:val="1"/>
      <w:numFmt w:val="decimal"/>
      <w:lvlText w:val="%4."/>
      <w:lvlJc w:val="left"/>
      <w:pPr>
        <w:tabs>
          <w:tab w:val="num" w:pos="2880"/>
        </w:tabs>
        <w:ind w:left="2880" w:hanging="360"/>
      </w:pPr>
    </w:lvl>
    <w:lvl w:ilvl="4" w:tplc="667E8D18">
      <w:start w:val="1"/>
      <w:numFmt w:val="decimal"/>
      <w:lvlText w:val="%5."/>
      <w:lvlJc w:val="left"/>
      <w:pPr>
        <w:tabs>
          <w:tab w:val="num" w:pos="3600"/>
        </w:tabs>
        <w:ind w:left="3600" w:hanging="360"/>
      </w:pPr>
    </w:lvl>
    <w:lvl w:ilvl="5" w:tplc="33720E74">
      <w:start w:val="1"/>
      <w:numFmt w:val="decimal"/>
      <w:lvlText w:val="%6."/>
      <w:lvlJc w:val="left"/>
      <w:pPr>
        <w:tabs>
          <w:tab w:val="num" w:pos="4320"/>
        </w:tabs>
        <w:ind w:left="4320" w:hanging="360"/>
      </w:pPr>
    </w:lvl>
    <w:lvl w:ilvl="6" w:tplc="F5B4C3B8">
      <w:start w:val="1"/>
      <w:numFmt w:val="decimal"/>
      <w:lvlText w:val="%7."/>
      <w:lvlJc w:val="left"/>
      <w:pPr>
        <w:tabs>
          <w:tab w:val="num" w:pos="5040"/>
        </w:tabs>
        <w:ind w:left="5040" w:hanging="360"/>
      </w:pPr>
    </w:lvl>
    <w:lvl w:ilvl="7" w:tplc="EC68D576">
      <w:start w:val="1"/>
      <w:numFmt w:val="decimal"/>
      <w:lvlText w:val="%8."/>
      <w:lvlJc w:val="left"/>
      <w:pPr>
        <w:tabs>
          <w:tab w:val="num" w:pos="5760"/>
        </w:tabs>
        <w:ind w:left="5760" w:hanging="360"/>
      </w:pPr>
    </w:lvl>
    <w:lvl w:ilvl="8" w:tplc="BCFCB32A">
      <w:start w:val="1"/>
      <w:numFmt w:val="decimal"/>
      <w:lvlText w:val="%9."/>
      <w:lvlJc w:val="left"/>
      <w:pPr>
        <w:tabs>
          <w:tab w:val="num" w:pos="6480"/>
        </w:tabs>
        <w:ind w:left="6480" w:hanging="360"/>
      </w:pPr>
    </w:lvl>
  </w:abstractNum>
  <w:abstractNum w:abstractNumId="17">
    <w:nsid w:val="652929EB"/>
    <w:multiLevelType w:val="multilevel"/>
    <w:tmpl w:val="C6346284"/>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703B5BAF"/>
    <w:multiLevelType w:val="hybridMultilevel"/>
    <w:tmpl w:val="9DF67486"/>
    <w:lvl w:ilvl="0" w:tplc="72E4F8A4">
      <w:start w:val="1"/>
      <w:numFmt w:val="decimal"/>
      <w:lvlText w:val="%1."/>
      <w:lvlJc w:val="left"/>
      <w:pPr>
        <w:ind w:left="720" w:hanging="360"/>
      </w:pPr>
      <w:rPr>
        <w:rFonts w:hint="default"/>
      </w:rPr>
    </w:lvl>
    <w:lvl w:ilvl="1" w:tplc="78909F66" w:tentative="1">
      <w:start w:val="1"/>
      <w:numFmt w:val="lowerLetter"/>
      <w:lvlText w:val="%2."/>
      <w:lvlJc w:val="left"/>
      <w:pPr>
        <w:ind w:left="1440" w:hanging="360"/>
      </w:pPr>
    </w:lvl>
    <w:lvl w:ilvl="2" w:tplc="BC6A9D9E" w:tentative="1">
      <w:start w:val="1"/>
      <w:numFmt w:val="lowerRoman"/>
      <w:lvlText w:val="%3."/>
      <w:lvlJc w:val="right"/>
      <w:pPr>
        <w:ind w:left="2160" w:hanging="180"/>
      </w:pPr>
    </w:lvl>
    <w:lvl w:ilvl="3" w:tplc="2E12B5A6" w:tentative="1">
      <w:start w:val="1"/>
      <w:numFmt w:val="decimal"/>
      <w:lvlText w:val="%4."/>
      <w:lvlJc w:val="left"/>
      <w:pPr>
        <w:ind w:left="2880" w:hanging="360"/>
      </w:pPr>
    </w:lvl>
    <w:lvl w:ilvl="4" w:tplc="32D0D868" w:tentative="1">
      <w:start w:val="1"/>
      <w:numFmt w:val="lowerLetter"/>
      <w:lvlText w:val="%5."/>
      <w:lvlJc w:val="left"/>
      <w:pPr>
        <w:ind w:left="3600" w:hanging="360"/>
      </w:pPr>
    </w:lvl>
    <w:lvl w:ilvl="5" w:tplc="86560D9C" w:tentative="1">
      <w:start w:val="1"/>
      <w:numFmt w:val="lowerRoman"/>
      <w:lvlText w:val="%6."/>
      <w:lvlJc w:val="right"/>
      <w:pPr>
        <w:ind w:left="4320" w:hanging="180"/>
      </w:pPr>
    </w:lvl>
    <w:lvl w:ilvl="6" w:tplc="7D1C1D4E" w:tentative="1">
      <w:start w:val="1"/>
      <w:numFmt w:val="decimal"/>
      <w:lvlText w:val="%7."/>
      <w:lvlJc w:val="left"/>
      <w:pPr>
        <w:ind w:left="5040" w:hanging="360"/>
      </w:pPr>
    </w:lvl>
    <w:lvl w:ilvl="7" w:tplc="9BAC96DE" w:tentative="1">
      <w:start w:val="1"/>
      <w:numFmt w:val="lowerLetter"/>
      <w:lvlText w:val="%8."/>
      <w:lvlJc w:val="left"/>
      <w:pPr>
        <w:ind w:left="5760" w:hanging="360"/>
      </w:pPr>
    </w:lvl>
    <w:lvl w:ilvl="8" w:tplc="2F2270B0" w:tentative="1">
      <w:start w:val="1"/>
      <w:numFmt w:val="lowerRoman"/>
      <w:lvlText w:val="%9."/>
      <w:lvlJc w:val="right"/>
      <w:pPr>
        <w:ind w:left="6480" w:hanging="180"/>
      </w:pPr>
    </w:lvl>
  </w:abstractNum>
  <w:abstractNum w:abstractNumId="19">
    <w:nsid w:val="77636595"/>
    <w:multiLevelType w:val="hybridMultilevel"/>
    <w:tmpl w:val="80C69A28"/>
    <w:lvl w:ilvl="0" w:tplc="EC2E5A5C">
      <w:start w:val="1"/>
      <w:numFmt w:val="decimal"/>
      <w:lvlText w:val="%1."/>
      <w:lvlJc w:val="left"/>
      <w:pPr>
        <w:ind w:left="720" w:hanging="360"/>
      </w:pPr>
      <w:rPr>
        <w:rFonts w:hint="default"/>
      </w:rPr>
    </w:lvl>
    <w:lvl w:ilvl="1" w:tplc="D06A10DE" w:tentative="1">
      <w:start w:val="1"/>
      <w:numFmt w:val="lowerLetter"/>
      <w:lvlText w:val="%2."/>
      <w:lvlJc w:val="left"/>
      <w:pPr>
        <w:ind w:left="1440" w:hanging="360"/>
      </w:pPr>
    </w:lvl>
    <w:lvl w:ilvl="2" w:tplc="923EFB8C" w:tentative="1">
      <w:start w:val="1"/>
      <w:numFmt w:val="lowerRoman"/>
      <w:lvlText w:val="%3."/>
      <w:lvlJc w:val="right"/>
      <w:pPr>
        <w:ind w:left="2160" w:hanging="180"/>
      </w:pPr>
    </w:lvl>
    <w:lvl w:ilvl="3" w:tplc="D2383B3A" w:tentative="1">
      <w:start w:val="1"/>
      <w:numFmt w:val="decimal"/>
      <w:lvlText w:val="%4."/>
      <w:lvlJc w:val="left"/>
      <w:pPr>
        <w:ind w:left="2880" w:hanging="360"/>
      </w:pPr>
    </w:lvl>
    <w:lvl w:ilvl="4" w:tplc="8E20F778" w:tentative="1">
      <w:start w:val="1"/>
      <w:numFmt w:val="lowerLetter"/>
      <w:lvlText w:val="%5."/>
      <w:lvlJc w:val="left"/>
      <w:pPr>
        <w:ind w:left="3600" w:hanging="360"/>
      </w:pPr>
    </w:lvl>
    <w:lvl w:ilvl="5" w:tplc="73608724" w:tentative="1">
      <w:start w:val="1"/>
      <w:numFmt w:val="lowerRoman"/>
      <w:lvlText w:val="%6."/>
      <w:lvlJc w:val="right"/>
      <w:pPr>
        <w:ind w:left="4320" w:hanging="180"/>
      </w:pPr>
    </w:lvl>
    <w:lvl w:ilvl="6" w:tplc="ED12564C" w:tentative="1">
      <w:start w:val="1"/>
      <w:numFmt w:val="decimal"/>
      <w:lvlText w:val="%7."/>
      <w:lvlJc w:val="left"/>
      <w:pPr>
        <w:ind w:left="5040" w:hanging="360"/>
      </w:pPr>
    </w:lvl>
    <w:lvl w:ilvl="7" w:tplc="3014F14E" w:tentative="1">
      <w:start w:val="1"/>
      <w:numFmt w:val="lowerLetter"/>
      <w:lvlText w:val="%8."/>
      <w:lvlJc w:val="left"/>
      <w:pPr>
        <w:ind w:left="5760" w:hanging="360"/>
      </w:pPr>
    </w:lvl>
    <w:lvl w:ilvl="8" w:tplc="06D80F16" w:tentative="1">
      <w:start w:val="1"/>
      <w:numFmt w:val="lowerRoman"/>
      <w:lvlText w:val="%9."/>
      <w:lvlJc w:val="right"/>
      <w:pPr>
        <w:ind w:left="6480" w:hanging="180"/>
      </w:pPr>
    </w:lvl>
  </w:abstractNum>
  <w:abstractNum w:abstractNumId="20">
    <w:nsid w:val="7B4C7732"/>
    <w:multiLevelType w:val="hybridMultilevel"/>
    <w:tmpl w:val="8FB0B670"/>
    <w:lvl w:ilvl="0" w:tplc="13307F8E">
      <w:start w:val="1"/>
      <w:numFmt w:val="decimal"/>
      <w:lvlText w:val="%1."/>
      <w:lvlJc w:val="left"/>
      <w:pPr>
        <w:ind w:left="927" w:hanging="360"/>
      </w:pPr>
      <w:rPr>
        <w:sz w:val="24"/>
        <w:szCs w:val="24"/>
      </w:rPr>
    </w:lvl>
    <w:lvl w:ilvl="1" w:tplc="D2A0CE36">
      <w:start w:val="1"/>
      <w:numFmt w:val="decimal"/>
      <w:lvlText w:val="%2."/>
      <w:lvlJc w:val="left"/>
      <w:pPr>
        <w:tabs>
          <w:tab w:val="num" w:pos="1440"/>
        </w:tabs>
        <w:ind w:left="1440" w:hanging="360"/>
      </w:pPr>
    </w:lvl>
    <w:lvl w:ilvl="2" w:tplc="8668D568">
      <w:start w:val="1"/>
      <w:numFmt w:val="decimal"/>
      <w:lvlText w:val="%3."/>
      <w:lvlJc w:val="left"/>
      <w:pPr>
        <w:tabs>
          <w:tab w:val="num" w:pos="2160"/>
        </w:tabs>
        <w:ind w:left="2160" w:hanging="360"/>
      </w:pPr>
    </w:lvl>
    <w:lvl w:ilvl="3" w:tplc="ABEE36C6">
      <w:start w:val="1"/>
      <w:numFmt w:val="decimal"/>
      <w:lvlText w:val="%4."/>
      <w:lvlJc w:val="left"/>
      <w:pPr>
        <w:tabs>
          <w:tab w:val="num" w:pos="2880"/>
        </w:tabs>
        <w:ind w:left="2880" w:hanging="360"/>
      </w:pPr>
    </w:lvl>
    <w:lvl w:ilvl="4" w:tplc="C2001186">
      <w:start w:val="1"/>
      <w:numFmt w:val="decimal"/>
      <w:lvlText w:val="%5."/>
      <w:lvlJc w:val="left"/>
      <w:pPr>
        <w:tabs>
          <w:tab w:val="num" w:pos="3600"/>
        </w:tabs>
        <w:ind w:left="3600" w:hanging="360"/>
      </w:pPr>
    </w:lvl>
    <w:lvl w:ilvl="5" w:tplc="9D820EE8">
      <w:start w:val="1"/>
      <w:numFmt w:val="decimal"/>
      <w:lvlText w:val="%6."/>
      <w:lvlJc w:val="left"/>
      <w:pPr>
        <w:tabs>
          <w:tab w:val="num" w:pos="4320"/>
        </w:tabs>
        <w:ind w:left="4320" w:hanging="360"/>
      </w:pPr>
    </w:lvl>
    <w:lvl w:ilvl="6" w:tplc="5D642230">
      <w:start w:val="1"/>
      <w:numFmt w:val="decimal"/>
      <w:lvlText w:val="%7."/>
      <w:lvlJc w:val="left"/>
      <w:pPr>
        <w:tabs>
          <w:tab w:val="num" w:pos="5040"/>
        </w:tabs>
        <w:ind w:left="5040" w:hanging="360"/>
      </w:pPr>
    </w:lvl>
    <w:lvl w:ilvl="7" w:tplc="E65E304A">
      <w:start w:val="1"/>
      <w:numFmt w:val="decimal"/>
      <w:lvlText w:val="%8."/>
      <w:lvlJc w:val="left"/>
      <w:pPr>
        <w:tabs>
          <w:tab w:val="num" w:pos="5760"/>
        </w:tabs>
        <w:ind w:left="5760" w:hanging="360"/>
      </w:pPr>
    </w:lvl>
    <w:lvl w:ilvl="8" w:tplc="06AAF658">
      <w:start w:val="1"/>
      <w:numFmt w:val="decimal"/>
      <w:lvlText w:val="%9."/>
      <w:lvlJc w:val="left"/>
      <w:pPr>
        <w:tabs>
          <w:tab w:val="num" w:pos="6480"/>
        </w:tabs>
        <w:ind w:left="6480" w:hanging="360"/>
      </w:pPr>
    </w:lvl>
  </w:abstractNum>
  <w:num w:numId="1">
    <w:abstractNumId w:val="18"/>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606B03"/>
    <w:rsid w:val="00013CC7"/>
    <w:rsid w:val="0001676F"/>
    <w:rsid w:val="00032BC1"/>
    <w:rsid w:val="00034585"/>
    <w:rsid w:val="000B40F4"/>
    <w:rsid w:val="000C2A92"/>
    <w:rsid w:val="000C6D31"/>
    <w:rsid w:val="000D6D82"/>
    <w:rsid w:val="000E4D4F"/>
    <w:rsid w:val="000E5B8E"/>
    <w:rsid w:val="000E6797"/>
    <w:rsid w:val="000F1570"/>
    <w:rsid w:val="000F4CDF"/>
    <w:rsid w:val="00140A57"/>
    <w:rsid w:val="00153CA5"/>
    <w:rsid w:val="0017506A"/>
    <w:rsid w:val="001857EB"/>
    <w:rsid w:val="001A0B44"/>
    <w:rsid w:val="001B047D"/>
    <w:rsid w:val="001C60FD"/>
    <w:rsid w:val="001E7377"/>
    <w:rsid w:val="001F3C82"/>
    <w:rsid w:val="00227346"/>
    <w:rsid w:val="002356F9"/>
    <w:rsid w:val="00240688"/>
    <w:rsid w:val="002513C1"/>
    <w:rsid w:val="00254951"/>
    <w:rsid w:val="00256C30"/>
    <w:rsid w:val="00294E9C"/>
    <w:rsid w:val="002A7E70"/>
    <w:rsid w:val="002B0610"/>
    <w:rsid w:val="002C3494"/>
    <w:rsid w:val="002C666B"/>
    <w:rsid w:val="00302B58"/>
    <w:rsid w:val="003046D8"/>
    <w:rsid w:val="003161EE"/>
    <w:rsid w:val="00326BA0"/>
    <w:rsid w:val="00353ABE"/>
    <w:rsid w:val="0036125F"/>
    <w:rsid w:val="003636A9"/>
    <w:rsid w:val="0037326C"/>
    <w:rsid w:val="003A3479"/>
    <w:rsid w:val="003C0AD9"/>
    <w:rsid w:val="003C35C6"/>
    <w:rsid w:val="003F25C6"/>
    <w:rsid w:val="0040713C"/>
    <w:rsid w:val="004347D8"/>
    <w:rsid w:val="00441570"/>
    <w:rsid w:val="00457EBF"/>
    <w:rsid w:val="00460AE2"/>
    <w:rsid w:val="0046403F"/>
    <w:rsid w:val="004725FA"/>
    <w:rsid w:val="004B4471"/>
    <w:rsid w:val="004C4895"/>
    <w:rsid w:val="004C603F"/>
    <w:rsid w:val="00510D66"/>
    <w:rsid w:val="005333B6"/>
    <w:rsid w:val="00564B8F"/>
    <w:rsid w:val="0058789D"/>
    <w:rsid w:val="005A0D1E"/>
    <w:rsid w:val="005A6657"/>
    <w:rsid w:val="005C05C4"/>
    <w:rsid w:val="005C2971"/>
    <w:rsid w:val="006008B9"/>
    <w:rsid w:val="00606B03"/>
    <w:rsid w:val="006129B9"/>
    <w:rsid w:val="0065489C"/>
    <w:rsid w:val="006572F5"/>
    <w:rsid w:val="006835CC"/>
    <w:rsid w:val="00685F69"/>
    <w:rsid w:val="00695D76"/>
    <w:rsid w:val="006C07B7"/>
    <w:rsid w:val="006C7D81"/>
    <w:rsid w:val="006D6F54"/>
    <w:rsid w:val="00707E41"/>
    <w:rsid w:val="00740128"/>
    <w:rsid w:val="00755591"/>
    <w:rsid w:val="00760D50"/>
    <w:rsid w:val="00766B52"/>
    <w:rsid w:val="007914C1"/>
    <w:rsid w:val="007C14A0"/>
    <w:rsid w:val="0080261B"/>
    <w:rsid w:val="008129E4"/>
    <w:rsid w:val="00862E92"/>
    <w:rsid w:val="00876FF2"/>
    <w:rsid w:val="008825FF"/>
    <w:rsid w:val="00887E9E"/>
    <w:rsid w:val="008C767F"/>
    <w:rsid w:val="008D4D17"/>
    <w:rsid w:val="008E5FF0"/>
    <w:rsid w:val="009062EE"/>
    <w:rsid w:val="00925C87"/>
    <w:rsid w:val="00925FF5"/>
    <w:rsid w:val="00927874"/>
    <w:rsid w:val="00947BB1"/>
    <w:rsid w:val="00961C98"/>
    <w:rsid w:val="00974B68"/>
    <w:rsid w:val="00976A95"/>
    <w:rsid w:val="009A7CB3"/>
    <w:rsid w:val="009B1198"/>
    <w:rsid w:val="009C4504"/>
    <w:rsid w:val="00A368AF"/>
    <w:rsid w:val="00A6168A"/>
    <w:rsid w:val="00A91EE8"/>
    <w:rsid w:val="00AA2046"/>
    <w:rsid w:val="00AA3A73"/>
    <w:rsid w:val="00AA5490"/>
    <w:rsid w:val="00AD1A6B"/>
    <w:rsid w:val="00AD5435"/>
    <w:rsid w:val="00B33D74"/>
    <w:rsid w:val="00B7237D"/>
    <w:rsid w:val="00BD27F0"/>
    <w:rsid w:val="00BF3205"/>
    <w:rsid w:val="00C00FF9"/>
    <w:rsid w:val="00C15756"/>
    <w:rsid w:val="00C359E1"/>
    <w:rsid w:val="00C51853"/>
    <w:rsid w:val="00CA1A46"/>
    <w:rsid w:val="00CB216A"/>
    <w:rsid w:val="00CB32E3"/>
    <w:rsid w:val="00CC0B4B"/>
    <w:rsid w:val="00CC46D9"/>
    <w:rsid w:val="00D054A7"/>
    <w:rsid w:val="00D1544F"/>
    <w:rsid w:val="00D217C4"/>
    <w:rsid w:val="00D37D43"/>
    <w:rsid w:val="00D53330"/>
    <w:rsid w:val="00D6102D"/>
    <w:rsid w:val="00D614D4"/>
    <w:rsid w:val="00D769D6"/>
    <w:rsid w:val="00DF2D71"/>
    <w:rsid w:val="00E04BDF"/>
    <w:rsid w:val="00E30A52"/>
    <w:rsid w:val="00E41C9B"/>
    <w:rsid w:val="00E573F4"/>
    <w:rsid w:val="00EB343E"/>
    <w:rsid w:val="00EB7A94"/>
    <w:rsid w:val="00EE5889"/>
    <w:rsid w:val="00F34160"/>
    <w:rsid w:val="00F57634"/>
    <w:rsid w:val="00F64E59"/>
    <w:rsid w:val="00F7241E"/>
    <w:rsid w:val="00F95BA7"/>
    <w:rsid w:val="00FD2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03"/>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B03"/>
    <w:rPr>
      <w:color w:val="0000FF" w:themeColor="hyperlink"/>
      <w:u w:val="single"/>
    </w:rPr>
  </w:style>
  <w:style w:type="paragraph" w:styleId="Footer">
    <w:name w:val="footer"/>
    <w:basedOn w:val="Normal"/>
    <w:link w:val="FooterChar"/>
    <w:uiPriority w:val="99"/>
    <w:unhideWhenUsed/>
    <w:rsid w:val="00606B03"/>
    <w:pPr>
      <w:tabs>
        <w:tab w:val="center" w:pos="4680"/>
        <w:tab w:val="right" w:pos="9360"/>
      </w:tabs>
      <w:spacing w:after="0" w:line="240" w:lineRule="auto"/>
    </w:pPr>
    <w:rPr>
      <w:rFonts w:ascii="Times New Roman" w:hAnsi="Times New Roman"/>
      <w:sz w:val="24"/>
      <w:lang w:val="en-US"/>
    </w:rPr>
  </w:style>
  <w:style w:type="character" w:customStyle="1" w:styleId="FooterChar">
    <w:name w:val="Footer Char"/>
    <w:basedOn w:val="DefaultParagraphFont"/>
    <w:link w:val="Footer"/>
    <w:uiPriority w:val="99"/>
    <w:rsid w:val="00606B03"/>
    <w:rPr>
      <w:rFonts w:ascii="Times New Roman" w:hAnsi="Times New Roman"/>
      <w:sz w:val="24"/>
      <w:lang w:val="en-US"/>
    </w:rPr>
  </w:style>
  <w:style w:type="paragraph" w:styleId="ListParagraph">
    <w:name w:val="List Paragraph"/>
    <w:aliases w:val="Body Text Char1,Char Char2,List Paragraph1,List Paragraph2,skripsi"/>
    <w:basedOn w:val="Normal"/>
    <w:link w:val="ListParagraphChar"/>
    <w:uiPriority w:val="34"/>
    <w:qFormat/>
    <w:rsid w:val="00606B03"/>
    <w:pPr>
      <w:ind w:left="720"/>
      <w:contextualSpacing/>
    </w:pPr>
    <w:rPr>
      <w:rFonts w:ascii="Times New Roman" w:hAnsi="Times New Roman"/>
      <w:sz w:val="24"/>
      <w:lang w:val="en-US"/>
    </w:rPr>
  </w:style>
  <w:style w:type="table" w:styleId="TableGrid">
    <w:name w:val="Table Grid"/>
    <w:basedOn w:val="TableNormal"/>
    <w:uiPriority w:val="59"/>
    <w:rsid w:val="00606B0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B03"/>
    <w:rPr>
      <w:rFonts w:ascii="Tahoma" w:hAnsi="Tahoma" w:cs="Tahoma"/>
      <w:sz w:val="16"/>
      <w:szCs w:val="16"/>
      <w:lang w:val="en-SG"/>
    </w:rPr>
  </w:style>
  <w:style w:type="character" w:customStyle="1" w:styleId="ListParagraphChar">
    <w:name w:val="List Paragraph Char"/>
    <w:aliases w:val="Body Text Char1 Char,Char Char2 Char,List Paragraph1 Char,List Paragraph2 Char,skripsi Char"/>
    <w:link w:val="ListParagraph"/>
    <w:uiPriority w:val="34"/>
    <w:locked/>
    <w:rsid w:val="00606B03"/>
    <w:rPr>
      <w:rFonts w:ascii="Times New Roman" w:hAnsi="Times New Roman"/>
      <w:sz w:val="24"/>
      <w:lang w:val="en-US"/>
    </w:rPr>
  </w:style>
  <w:style w:type="paragraph" w:customStyle="1" w:styleId="Default">
    <w:name w:val="Default"/>
    <w:rsid w:val="00606B03"/>
    <w:pPr>
      <w:autoSpaceDE w:val="0"/>
      <w:autoSpaceDN w:val="0"/>
      <w:adjustRightInd w:val="0"/>
      <w:spacing w:after="0" w:line="240" w:lineRule="auto"/>
    </w:pPr>
    <w:rPr>
      <w:rFonts w:ascii="Times New Roman" w:eastAsia="Calibri" w:hAnsi="Times New Roman" w:cs="Times New Roman"/>
      <w:color w:val="000000"/>
      <w:sz w:val="24"/>
      <w:szCs w:val="24"/>
      <w:lang w:val="en-US" w:eastAsia="id-ID"/>
    </w:rPr>
  </w:style>
  <w:style w:type="paragraph" w:styleId="Header">
    <w:name w:val="header"/>
    <w:basedOn w:val="Normal"/>
    <w:link w:val="HeaderChar"/>
    <w:uiPriority w:val="99"/>
    <w:semiHidden/>
    <w:unhideWhenUsed/>
    <w:rsid w:val="00606B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6B03"/>
    <w:rPr>
      <w:lang w:val="en-SG"/>
    </w:rPr>
  </w:style>
  <w:style w:type="paragraph" w:styleId="HTMLPreformatted">
    <w:name w:val="HTML Preformatted"/>
    <w:basedOn w:val="Normal"/>
    <w:link w:val="HTMLPreformattedChar"/>
    <w:uiPriority w:val="99"/>
    <w:semiHidden/>
    <w:unhideWhenUsed/>
    <w:rsid w:val="007C14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14A0"/>
    <w:rPr>
      <w:rFonts w:ascii="Consolas" w:hAnsi="Consolas"/>
      <w:sz w:val="20"/>
      <w:szCs w:val="20"/>
      <w:lang w:val="en-S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6693</Words>
  <Characters>38153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FARHATI</cp:lastModifiedBy>
  <cp:revision>4</cp:revision>
  <dcterms:created xsi:type="dcterms:W3CDTF">2020-01-25T10:52:00Z</dcterms:created>
  <dcterms:modified xsi:type="dcterms:W3CDTF">2020-01-25T11:30:00Z</dcterms:modified>
</cp:coreProperties>
</file>