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D4" w:rsidRPr="00B4468C" w:rsidRDefault="00645AE7" w:rsidP="005069D4">
      <w:pPr>
        <w:pStyle w:val="Caption"/>
        <w:rPr>
          <w:rFonts w:asciiTheme="majorBidi" w:hAnsiTheme="majorBidi" w:cstheme="majorBidi"/>
          <w:szCs w:val="28"/>
          <w:u w:val="none"/>
          <w:lang w:val="id-ID"/>
        </w:rPr>
      </w:pPr>
      <w:r w:rsidRPr="00645AE7">
        <w:rPr>
          <w:noProof/>
          <w:szCs w:val="26"/>
          <w:u w:val="none"/>
        </w:rPr>
        <w:pict>
          <v:rect id="Rectangle 9" o:spid="_x0000_s1026" style="position:absolute;left:0;text-align:left;margin-left:-7.15pt;margin-top:-38.4pt;width:390.5pt;height:21.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" fillcolor="white [3212]" stroked="f" strokeweight="2pt">
            <v:textbox>
              <w:txbxContent>
                <w:p w:rsidR="00777FA3" w:rsidRPr="00116CCF" w:rsidRDefault="00777FA3" w:rsidP="00D73935">
                  <w:pPr>
                    <w:tabs>
                      <w:tab w:val="decimal" w:pos="3261"/>
                    </w:tabs>
                    <w:spacing w:after="0" w:line="240" w:lineRule="auto"/>
                    <w:jc w:val="center"/>
                    <w:rPr>
                      <w:rFonts w:ascii="Garamond" w:hAnsi="Garamond"/>
                      <w:i/>
                      <w:color w:val="000000" w:themeColor="text1"/>
                      <w:sz w:val="18"/>
                      <w:szCs w:val="18"/>
                    </w:rPr>
                  </w:pPr>
                  <w:r>
                    <w:rPr>
                      <w:rFonts w:ascii="Garamond" w:hAnsi="Garamond"/>
                      <w:i/>
                      <w:color w:val="000000" w:themeColor="text1"/>
                      <w:sz w:val="18"/>
                      <w:szCs w:val="18"/>
                    </w:rPr>
                    <w:t>Received: 00 Month 20xx; Revised: 00 Month 20xx; Accepted: 00 Month 20xx</w:t>
                  </w:r>
                </w:p>
              </w:txbxContent>
            </v:textbox>
          </v:rect>
        </w:pict>
      </w:r>
      <w:r w:rsidR="005069D4" w:rsidRPr="005069D4">
        <w:rPr>
          <w:rFonts w:asciiTheme="majorBidi" w:hAnsiTheme="majorBidi"/>
          <w:szCs w:val="28"/>
          <w:u w:val="none"/>
        </w:rPr>
        <w:t xml:space="preserve"> </w:t>
      </w:r>
      <w:r w:rsidR="00B4468C" w:rsidRPr="00B4468C">
        <w:rPr>
          <w:rFonts w:asciiTheme="majorBidi" w:hAnsiTheme="majorBidi" w:cstheme="majorBidi"/>
          <w:bCs/>
          <w:szCs w:val="28"/>
          <w:u w:val="none"/>
          <w:lang w:val="id-ID"/>
        </w:rPr>
        <w:t>THE M</w:t>
      </w:r>
      <w:r w:rsidR="00B4468C" w:rsidRPr="00B4468C">
        <w:rPr>
          <w:rFonts w:asciiTheme="majorBidi" w:hAnsiTheme="majorBidi" w:cstheme="majorBidi"/>
          <w:bCs/>
          <w:szCs w:val="28"/>
          <w:u w:val="none"/>
        </w:rPr>
        <w:t>ODIFI</w:t>
      </w:r>
      <w:r w:rsidR="00B4468C" w:rsidRPr="00B4468C">
        <w:rPr>
          <w:rFonts w:asciiTheme="majorBidi" w:hAnsiTheme="majorBidi" w:cstheme="majorBidi"/>
          <w:bCs/>
          <w:szCs w:val="28"/>
          <w:u w:val="none"/>
          <w:lang w:val="id-ID"/>
        </w:rPr>
        <w:t>CATION OF</w:t>
      </w:r>
      <w:r w:rsidR="00B4468C" w:rsidRPr="00B4468C">
        <w:rPr>
          <w:rFonts w:asciiTheme="majorBidi" w:hAnsiTheme="majorBidi" w:cstheme="majorBidi"/>
          <w:bCs/>
          <w:szCs w:val="28"/>
          <w:u w:val="none"/>
        </w:rPr>
        <w:t xml:space="preserve"> </w:t>
      </w:r>
      <w:r w:rsidR="00B4468C" w:rsidRPr="00B4468C">
        <w:rPr>
          <w:rFonts w:asciiTheme="majorBidi" w:hAnsiTheme="majorBidi" w:cstheme="majorBidi"/>
          <w:bCs/>
          <w:iCs/>
          <w:szCs w:val="28"/>
          <w:u w:val="none"/>
        </w:rPr>
        <w:t>SHARPE RATIO</w:t>
      </w:r>
      <w:r w:rsidR="00B4468C" w:rsidRPr="00B4468C">
        <w:rPr>
          <w:rFonts w:asciiTheme="majorBidi" w:hAnsiTheme="majorBidi" w:cstheme="majorBidi"/>
          <w:bCs/>
          <w:szCs w:val="28"/>
          <w:u w:val="none"/>
        </w:rPr>
        <w:t xml:space="preserve"> TO </w:t>
      </w:r>
      <w:r w:rsidR="00B4468C" w:rsidRPr="00B4468C">
        <w:rPr>
          <w:rFonts w:asciiTheme="majorBidi" w:hAnsiTheme="majorBidi" w:cstheme="majorBidi"/>
          <w:bCs/>
          <w:szCs w:val="28"/>
          <w:u w:val="none"/>
          <w:lang w:val="id-ID"/>
        </w:rPr>
        <w:t>M</w:t>
      </w:r>
      <w:r w:rsidR="00B4468C" w:rsidRPr="00B4468C">
        <w:rPr>
          <w:rFonts w:asciiTheme="majorBidi" w:hAnsiTheme="majorBidi" w:cstheme="majorBidi"/>
          <w:bCs/>
          <w:szCs w:val="28"/>
          <w:u w:val="none"/>
        </w:rPr>
        <w:t xml:space="preserve">EASURE </w:t>
      </w:r>
      <w:r w:rsidR="00B4468C" w:rsidRPr="00B4468C">
        <w:rPr>
          <w:rFonts w:asciiTheme="majorBidi" w:hAnsiTheme="majorBidi" w:cstheme="majorBidi"/>
          <w:bCs/>
          <w:szCs w:val="28"/>
          <w:u w:val="none"/>
          <w:lang w:val="id-ID"/>
        </w:rPr>
        <w:t>ISLAMIC</w:t>
      </w:r>
      <w:r w:rsidR="00B4468C" w:rsidRPr="00B4468C">
        <w:rPr>
          <w:rFonts w:asciiTheme="majorBidi" w:hAnsiTheme="majorBidi" w:cstheme="majorBidi"/>
          <w:bCs/>
          <w:szCs w:val="28"/>
          <w:u w:val="none"/>
        </w:rPr>
        <w:t xml:space="preserve"> STOCK</w:t>
      </w:r>
      <w:r w:rsidR="00B4468C" w:rsidRPr="00B4468C">
        <w:rPr>
          <w:rFonts w:asciiTheme="majorBidi" w:hAnsiTheme="majorBidi" w:cstheme="majorBidi"/>
          <w:bCs/>
          <w:szCs w:val="28"/>
          <w:u w:val="none"/>
          <w:lang w:val="id-ID"/>
        </w:rPr>
        <w:t xml:space="preserve"> </w:t>
      </w:r>
      <w:r w:rsidR="00B4468C" w:rsidRPr="00B4468C">
        <w:rPr>
          <w:rFonts w:asciiTheme="majorBidi" w:hAnsiTheme="majorBidi" w:cstheme="majorBidi"/>
          <w:bCs/>
          <w:szCs w:val="28"/>
          <w:u w:val="none"/>
        </w:rPr>
        <w:t>PERFORMANCE</w:t>
      </w:r>
      <w:r w:rsidR="00B4468C" w:rsidRPr="00B4468C">
        <w:rPr>
          <w:rFonts w:asciiTheme="majorBidi" w:hAnsiTheme="majorBidi" w:cstheme="majorBidi"/>
          <w:bCs/>
          <w:szCs w:val="28"/>
          <w:u w:val="none"/>
          <w:lang w:val="id-ID"/>
        </w:rPr>
        <w:t xml:space="preserve"> IN </w:t>
      </w:r>
      <w:r w:rsidR="00B4468C" w:rsidRPr="00B4468C">
        <w:rPr>
          <w:rFonts w:asciiTheme="majorBidi" w:hAnsiTheme="majorBidi" w:cstheme="majorBidi"/>
          <w:bCs/>
          <w:szCs w:val="28"/>
          <w:u w:val="none"/>
        </w:rPr>
        <w:t>INDONESIA</w:t>
      </w:r>
    </w:p>
    <w:p w:rsidR="00B4468C" w:rsidRPr="00B4468C" w:rsidRDefault="00B4468C" w:rsidP="00B4468C">
      <w:pPr>
        <w:rPr>
          <w:lang w:val="id-ID"/>
        </w:rPr>
      </w:pPr>
    </w:p>
    <w:p w:rsidR="00EC43AA" w:rsidRPr="006872D2" w:rsidRDefault="00EC43AA" w:rsidP="00EC43AA">
      <w:pPr>
        <w:autoSpaceDE w:val="0"/>
        <w:autoSpaceDN w:val="0"/>
        <w:adjustRightInd w:val="0"/>
        <w:spacing w:after="0" w:line="240" w:lineRule="auto"/>
        <w:jc w:val="center"/>
        <w:rPr>
          <w:rFonts w:ascii="Times New Roman" w:hAnsi="Times New Roman" w:cs="Times New Roman"/>
          <w:b/>
          <w:sz w:val="28"/>
          <w:szCs w:val="26"/>
        </w:rPr>
      </w:pPr>
    </w:p>
    <w:p w:rsidR="00EC43AA" w:rsidRPr="00B4468C" w:rsidRDefault="00B4468C" w:rsidP="00B4468C">
      <w:pPr>
        <w:pStyle w:val="NoSpacing"/>
        <w:jc w:val="center"/>
        <w:rPr>
          <w:rFonts w:ascii="Times New Roman" w:hAnsi="Times New Roman"/>
          <w:b/>
          <w:noProof/>
          <w:sz w:val="24"/>
          <w:szCs w:val="24"/>
          <w:lang w:val="id-ID"/>
        </w:rPr>
      </w:pPr>
      <w:r w:rsidRPr="006A2874">
        <w:rPr>
          <w:rFonts w:ascii="Times New Roman" w:hAnsi="Times New Roman"/>
          <w:b/>
          <w:noProof/>
          <w:sz w:val="24"/>
          <w:szCs w:val="24"/>
          <w:lang w:val="id-ID"/>
        </w:rPr>
        <w:t>Mohammad Farhan Qudratullah</w:t>
      </w:r>
      <w:r w:rsidR="005069D4">
        <w:rPr>
          <w:rFonts w:ascii="Times New Roman" w:hAnsi="Times New Roman"/>
          <w:b/>
          <w:sz w:val="24"/>
          <w:szCs w:val="24"/>
        </w:rPr>
        <w:t xml:space="preserve"> </w:t>
      </w:r>
    </w:p>
    <w:p w:rsidR="005069D4" w:rsidRPr="001A111B" w:rsidRDefault="00B4468C" w:rsidP="005069D4">
      <w:pPr>
        <w:pStyle w:val="ADICAddress"/>
        <w:rPr>
          <w:rFonts w:ascii="Times New Roman" w:hAnsi="Times New Roman"/>
          <w:i w:val="0"/>
        </w:rPr>
      </w:pPr>
      <w:r>
        <w:rPr>
          <w:rFonts w:ascii="Times New Roman" w:hAnsi="Times New Roman"/>
          <w:i w:val="0"/>
          <w:noProof/>
        </w:rPr>
        <w:t>UIN</w:t>
      </w:r>
      <w:r w:rsidRPr="00B4468C">
        <w:rPr>
          <w:rFonts w:ascii="Times New Roman" w:hAnsi="Times New Roman"/>
          <w:i w:val="0"/>
          <w:noProof/>
        </w:rPr>
        <w:t xml:space="preserve"> Sunan Kalijaga Yogyakarta, Indonesia</w:t>
      </w:r>
    </w:p>
    <w:p w:rsidR="00D70B57" w:rsidRPr="00B4468C" w:rsidRDefault="00B4468C" w:rsidP="005069D4">
      <w:pPr>
        <w:spacing w:after="0" w:line="240" w:lineRule="auto"/>
        <w:jc w:val="center"/>
        <w:rPr>
          <w:rFonts w:ascii="Times New Roman" w:hAnsi="Times New Roman" w:cs="Times New Roman"/>
          <w:sz w:val="20"/>
          <w:szCs w:val="20"/>
          <w:lang w:val="id-ID"/>
        </w:rPr>
      </w:pPr>
      <w:r w:rsidRPr="00B4468C">
        <w:rPr>
          <w:rFonts w:ascii="Times New Roman" w:hAnsi="Times New Roman" w:cs="Times New Roman"/>
          <w:i/>
          <w:sz w:val="20"/>
          <w:szCs w:val="20"/>
          <w:lang w:val="id-ID"/>
        </w:rPr>
        <w:t>Corresponding e</w:t>
      </w:r>
      <w:r w:rsidR="005069D4" w:rsidRPr="00B4468C">
        <w:rPr>
          <w:rFonts w:ascii="Times New Roman" w:hAnsi="Times New Roman" w:cs="Times New Roman"/>
          <w:i/>
          <w:sz w:val="20"/>
          <w:szCs w:val="20"/>
        </w:rPr>
        <w:t>mail</w:t>
      </w:r>
      <w:r w:rsidR="005069D4" w:rsidRPr="001A111B">
        <w:rPr>
          <w:rFonts w:ascii="Times New Roman" w:hAnsi="Times New Roman" w:cs="Times New Roman"/>
          <w:sz w:val="20"/>
          <w:szCs w:val="20"/>
        </w:rPr>
        <w:t>:</w:t>
      </w:r>
      <w:r w:rsidR="005069D4">
        <w:rPr>
          <w:rFonts w:ascii="Times New Roman" w:hAnsi="Times New Roman" w:cs="Times New Roman"/>
          <w:sz w:val="20"/>
          <w:szCs w:val="20"/>
        </w:rPr>
        <w:t xml:space="preserve"> </w:t>
      </w:r>
      <w:r>
        <w:rPr>
          <w:rFonts w:ascii="Times New Roman" w:hAnsi="Times New Roman" w:cs="Times New Roman"/>
          <w:sz w:val="20"/>
          <w:szCs w:val="20"/>
          <w:lang w:val="id-ID"/>
        </w:rPr>
        <w:t>mohammad.qudratullah@uin-suka.ac.id</w:t>
      </w:r>
    </w:p>
    <w:p w:rsidR="00EC43AA" w:rsidRDefault="00EC43AA" w:rsidP="00D70B57">
      <w:pPr>
        <w:spacing w:after="0" w:line="240" w:lineRule="auto"/>
        <w:jc w:val="center"/>
        <w:rPr>
          <w:rFonts w:ascii="Times New Roman" w:hAnsi="Times New Roman" w:cs="Times New Roman"/>
          <w:sz w:val="20"/>
          <w:szCs w:val="20"/>
          <w:lang w:val="id-ID"/>
        </w:rPr>
      </w:pPr>
    </w:p>
    <w:p w:rsidR="00B4468C" w:rsidRPr="00B4468C" w:rsidRDefault="00B4468C" w:rsidP="00D70B57">
      <w:pPr>
        <w:spacing w:after="0" w:line="240" w:lineRule="auto"/>
        <w:jc w:val="center"/>
        <w:rPr>
          <w:rFonts w:ascii="Times New Roman" w:hAnsi="Times New Roman" w:cs="Times New Roman"/>
          <w:sz w:val="20"/>
          <w:szCs w:val="20"/>
          <w:lang w:val="id-ID"/>
        </w:rPr>
      </w:pPr>
    </w:p>
    <w:p w:rsidR="00B4468C" w:rsidRPr="00B4468C" w:rsidRDefault="00EC43AA" w:rsidP="00B4468C">
      <w:pPr>
        <w:spacing w:after="0" w:line="240" w:lineRule="auto"/>
        <w:jc w:val="both"/>
        <w:rPr>
          <w:rFonts w:ascii="Arial Narrow" w:hAnsi="Arial Narrow"/>
          <w:sz w:val="20"/>
          <w:szCs w:val="20"/>
          <w:lang w:val="id-ID"/>
        </w:rPr>
      </w:pPr>
      <w:r w:rsidRPr="006872D2">
        <w:rPr>
          <w:rFonts w:ascii="Arial Narrow" w:hAnsi="Arial Narrow" w:cs="Times New Roman"/>
          <w:b/>
          <w:sz w:val="20"/>
          <w:lang w:val="en-GB"/>
        </w:rPr>
        <w:t xml:space="preserve">ABSTRACT - </w:t>
      </w:r>
      <w:r w:rsidR="00B4468C" w:rsidRPr="00B4468C">
        <w:rPr>
          <w:rFonts w:ascii="Arial Narrow" w:hAnsi="Arial Narrow"/>
          <w:sz w:val="20"/>
          <w:szCs w:val="20"/>
        </w:rPr>
        <w:t xml:space="preserve">Since the late 1960s, one of the stock performance analysis tools commonly used is Sharpe Ratio. The Sharpe Ratio consists of three components, namely stock return, risk-free returns, and stock risk. Many studies approach risk-free returns with interest rates, including when measuring the performance of Islamic stocks, while interest rates are prohibited in the concept of Islamic finance. And the stock risk is measured by a standard deviation which assumes returns are normally distributed, while many stock returns are non-normally distributed. This paper will modify the Sharpe Ratio with four approaches, namely: eliminating interest rates, changing zakah rates, changing inflation, and changing </w:t>
      </w:r>
      <w:r w:rsidR="00B4468C" w:rsidRPr="00B4468C">
        <w:rPr>
          <w:rFonts w:ascii="Arial Narrow" w:hAnsi="Arial Narrow"/>
          <w:sz w:val="20"/>
          <w:szCs w:val="20"/>
          <w:lang w:val="id-ID"/>
        </w:rPr>
        <w:t xml:space="preserve">nominal </w:t>
      </w:r>
      <w:r w:rsidR="00B4468C" w:rsidRPr="00B4468C">
        <w:rPr>
          <w:rFonts w:ascii="Arial Narrow" w:hAnsi="Arial Narrow"/>
          <w:sz w:val="20"/>
          <w:szCs w:val="20"/>
        </w:rPr>
        <w:t xml:space="preserve">gross domestic product </w:t>
      </w:r>
      <w:r w:rsidR="00B4468C" w:rsidRPr="00B4468C">
        <w:rPr>
          <w:rFonts w:ascii="Arial Narrow" w:hAnsi="Arial Narrow"/>
          <w:sz w:val="20"/>
          <w:szCs w:val="20"/>
          <w:lang w:val="id-ID"/>
        </w:rPr>
        <w:t xml:space="preserve">growth </w:t>
      </w:r>
      <w:r w:rsidR="00B4468C" w:rsidRPr="00B4468C">
        <w:rPr>
          <w:rFonts w:ascii="Arial Narrow" w:hAnsi="Arial Narrow"/>
          <w:sz w:val="20"/>
          <w:szCs w:val="20"/>
        </w:rPr>
        <w:t>(GDP), and using Value at Risk (VaR) as a measure of stock risk. Then implement it in the Islamic capital market in Indonesia for the period January 2011 - July 2018. The results obtained are that there is a very high suitability for the measurement results of the five models. Judging from the closeness of the results of performance measurement, the five models can be grouped into two, namely models with interest rates, inflation, and GDP as the first group, while models without interest rates and zakah- rate as the second group</w:t>
      </w:r>
      <w:r w:rsidR="00B4468C" w:rsidRPr="00B4468C">
        <w:rPr>
          <w:rFonts w:ascii="Arial Narrow" w:hAnsi="Arial Narrow"/>
          <w:sz w:val="20"/>
          <w:szCs w:val="20"/>
          <w:lang w:val="id-ID"/>
        </w:rPr>
        <w:t>.</w:t>
      </w:r>
    </w:p>
    <w:p w:rsidR="00B4468C" w:rsidRPr="00B4468C" w:rsidRDefault="00B4468C" w:rsidP="00D6396E">
      <w:pPr>
        <w:spacing w:after="0" w:line="240" w:lineRule="auto"/>
        <w:jc w:val="both"/>
        <w:rPr>
          <w:rFonts w:ascii="Arial Narrow" w:hAnsi="Arial Narrow"/>
          <w:sz w:val="20"/>
          <w:lang w:val="id-ID"/>
        </w:rPr>
      </w:pPr>
    </w:p>
    <w:p w:rsidR="00B4468C" w:rsidRPr="00B4468C" w:rsidRDefault="00EC43AA" w:rsidP="00B4468C">
      <w:pPr>
        <w:pStyle w:val="NoSpacing"/>
        <w:ind w:left="1276" w:hanging="1276"/>
        <w:jc w:val="both"/>
        <w:rPr>
          <w:rFonts w:ascii="Arial Narrow" w:hAnsi="Arial Narrow"/>
          <w:sz w:val="20"/>
          <w:szCs w:val="20"/>
          <w:lang w:val="id-ID"/>
        </w:rPr>
      </w:pPr>
      <w:r w:rsidRPr="006872D2">
        <w:rPr>
          <w:rFonts w:ascii="Arial Narrow" w:hAnsi="Arial Narrow"/>
          <w:b/>
          <w:bCs/>
          <w:iCs/>
          <w:sz w:val="20"/>
          <w:szCs w:val="20"/>
          <w:lang w:val="en-GB"/>
        </w:rPr>
        <w:t>Keywords:</w:t>
      </w:r>
      <w:r w:rsidR="00B4468C">
        <w:rPr>
          <w:rFonts w:ascii="Arial Narrow" w:hAnsi="Arial Narrow"/>
          <w:sz w:val="20"/>
          <w:lang w:val="id-ID"/>
        </w:rPr>
        <w:t xml:space="preserve"> </w:t>
      </w:r>
      <w:r w:rsidR="00B4468C" w:rsidRPr="00B4468C">
        <w:rPr>
          <w:rFonts w:ascii="Arial Narrow" w:hAnsi="Arial Narrow"/>
          <w:sz w:val="20"/>
          <w:szCs w:val="20"/>
          <w:lang w:val="id-ID"/>
        </w:rPr>
        <w:t xml:space="preserve">Islamic Finance, Islamic </w:t>
      </w:r>
      <w:r w:rsidR="00B4468C" w:rsidRPr="00B4468C">
        <w:rPr>
          <w:rFonts w:ascii="Arial Narrow" w:hAnsi="Arial Narrow"/>
          <w:sz w:val="20"/>
          <w:szCs w:val="20"/>
        </w:rPr>
        <w:t xml:space="preserve">Stock Performance, </w:t>
      </w:r>
      <w:r w:rsidR="00B4468C" w:rsidRPr="00B4468C">
        <w:rPr>
          <w:rFonts w:ascii="Arial Narrow" w:hAnsi="Arial Narrow"/>
          <w:sz w:val="20"/>
          <w:szCs w:val="20"/>
          <w:lang w:val="id-ID"/>
        </w:rPr>
        <w:t xml:space="preserve">Modification </w:t>
      </w:r>
      <w:r w:rsidR="00B4468C" w:rsidRPr="00B4468C">
        <w:rPr>
          <w:rFonts w:ascii="Arial Narrow" w:hAnsi="Arial Narrow"/>
          <w:sz w:val="20"/>
          <w:szCs w:val="20"/>
        </w:rPr>
        <w:t>Sharpe Ratio</w:t>
      </w:r>
      <w:r w:rsidR="00B4468C" w:rsidRPr="00B4468C">
        <w:rPr>
          <w:rFonts w:ascii="Arial Narrow" w:hAnsi="Arial Narrow"/>
          <w:sz w:val="20"/>
          <w:szCs w:val="20"/>
          <w:lang w:val="id-ID"/>
        </w:rPr>
        <w:t>, and Value at Risk</w:t>
      </w:r>
    </w:p>
    <w:p w:rsidR="00EC43AA" w:rsidRDefault="00EC43AA" w:rsidP="00EC43AA">
      <w:pPr>
        <w:tabs>
          <w:tab w:val="left" w:pos="90"/>
        </w:tabs>
        <w:spacing w:after="0" w:line="240" w:lineRule="auto"/>
        <w:ind w:right="297"/>
        <w:jc w:val="both"/>
        <w:rPr>
          <w:rFonts w:ascii="Arial Narrow" w:hAnsi="Arial Narrow"/>
          <w:sz w:val="20"/>
          <w:szCs w:val="20"/>
          <w:lang w:val="id-ID"/>
        </w:rPr>
      </w:pPr>
    </w:p>
    <w:p w:rsidR="00B4468C" w:rsidRPr="00B4468C" w:rsidRDefault="00B4468C" w:rsidP="00EC43AA">
      <w:pPr>
        <w:tabs>
          <w:tab w:val="left" w:pos="90"/>
        </w:tabs>
        <w:spacing w:after="0" w:line="240" w:lineRule="auto"/>
        <w:ind w:right="297"/>
        <w:jc w:val="both"/>
        <w:rPr>
          <w:rFonts w:ascii="Arial Narrow" w:hAnsi="Arial Narrow"/>
          <w:sz w:val="20"/>
          <w:szCs w:val="20"/>
          <w:lang w:val="id-ID"/>
        </w:rPr>
      </w:pPr>
    </w:p>
    <w:p w:rsidR="00EC43AA" w:rsidRPr="006872D2" w:rsidRDefault="00EC43AA" w:rsidP="00EC43AA">
      <w:pPr>
        <w:autoSpaceDE w:val="0"/>
        <w:autoSpaceDN w:val="0"/>
        <w:adjustRightInd w:val="0"/>
        <w:spacing w:after="0" w:line="240" w:lineRule="auto"/>
        <w:jc w:val="both"/>
        <w:rPr>
          <w:rFonts w:ascii="Arial Narrow" w:hAnsi="Arial Narrow" w:cs="Times New Roman"/>
          <w:b/>
          <w:i/>
          <w:sz w:val="20"/>
          <w:lang w:val="en-GB"/>
        </w:rPr>
      </w:pPr>
    </w:p>
    <w:p w:rsidR="00B4468C" w:rsidRDefault="00EC43AA" w:rsidP="00B4468C">
      <w:pPr>
        <w:pStyle w:val="NoSpacing"/>
        <w:spacing w:line="276" w:lineRule="auto"/>
        <w:jc w:val="both"/>
        <w:rPr>
          <w:rFonts w:ascii="Arial Narrow" w:hAnsi="Arial Narrow"/>
          <w:sz w:val="20"/>
          <w:szCs w:val="20"/>
          <w:lang w:val="id-ID"/>
        </w:rPr>
      </w:pPr>
      <w:r w:rsidRPr="00B4468C">
        <w:rPr>
          <w:rFonts w:ascii="Arial Narrow" w:hAnsi="Arial Narrow"/>
          <w:b/>
          <w:i/>
          <w:sz w:val="20"/>
          <w:lang w:val="en-GB"/>
        </w:rPr>
        <w:t xml:space="preserve">ABSTRAK </w:t>
      </w:r>
      <w:r w:rsidR="00416B17" w:rsidRPr="00B4468C">
        <w:rPr>
          <w:rFonts w:ascii="Arial Narrow" w:hAnsi="Arial Narrow"/>
          <w:b/>
          <w:i/>
          <w:sz w:val="20"/>
          <w:lang w:val="en-GB"/>
        </w:rPr>
        <w:t>–</w:t>
      </w:r>
      <w:r w:rsidR="00B4468C">
        <w:rPr>
          <w:rFonts w:ascii="Arial Narrow" w:hAnsi="Arial Narrow"/>
          <w:b/>
          <w:i/>
          <w:sz w:val="20"/>
          <w:lang w:val="id-ID"/>
        </w:rPr>
        <w:t>Modifikasi Sharpe Ratio untuk mengukur Kinerja Saham Syariah di Indonesia</w:t>
      </w:r>
      <w:r w:rsidR="00775F61" w:rsidRPr="00B4468C">
        <w:rPr>
          <w:rFonts w:ascii="Arial Narrow" w:hAnsi="Arial Narrow"/>
          <w:b/>
          <w:i/>
          <w:sz w:val="20"/>
          <w:lang w:val="en-GB"/>
        </w:rPr>
        <w:t xml:space="preserve">. </w:t>
      </w:r>
      <w:r w:rsidR="00B4468C" w:rsidRPr="00B4468C">
        <w:rPr>
          <w:rFonts w:ascii="Arial Narrow" w:hAnsi="Arial Narrow"/>
          <w:sz w:val="20"/>
          <w:szCs w:val="20"/>
          <w:lang w:val="id-ID"/>
        </w:rPr>
        <w:t xml:space="preserve">Sejak akhir 1960-an, salah satu alat mengukur kinerja saham yang biasa digunakan adalah </w:t>
      </w:r>
      <w:r w:rsidR="00B4468C" w:rsidRPr="00B4468C">
        <w:rPr>
          <w:rFonts w:ascii="Arial Narrow" w:hAnsi="Arial Narrow"/>
          <w:i/>
          <w:sz w:val="20"/>
          <w:szCs w:val="20"/>
          <w:lang w:val="id-ID"/>
        </w:rPr>
        <w:t>Sharpe Ratio</w:t>
      </w:r>
      <w:r w:rsidR="00B4468C" w:rsidRPr="00B4468C">
        <w:rPr>
          <w:rFonts w:ascii="Arial Narrow" w:hAnsi="Arial Narrow"/>
          <w:sz w:val="20"/>
          <w:szCs w:val="20"/>
          <w:lang w:val="id-ID"/>
        </w:rPr>
        <w:t xml:space="preserve">. Model </w:t>
      </w:r>
      <w:r w:rsidR="00B4468C" w:rsidRPr="00B4468C">
        <w:rPr>
          <w:rFonts w:ascii="Arial Narrow" w:hAnsi="Arial Narrow"/>
          <w:i/>
          <w:sz w:val="20"/>
          <w:szCs w:val="20"/>
          <w:lang w:val="id-ID"/>
        </w:rPr>
        <w:t>Sharpe Ratio</w:t>
      </w:r>
      <w:r w:rsidR="00B4468C" w:rsidRPr="00B4468C">
        <w:rPr>
          <w:rFonts w:ascii="Arial Narrow" w:hAnsi="Arial Narrow"/>
          <w:sz w:val="20"/>
          <w:szCs w:val="20"/>
          <w:lang w:val="id-ID"/>
        </w:rPr>
        <w:t xml:space="preserve"> terdiri atas 3 (tiga) komponen, yaitu </w:t>
      </w:r>
      <w:r w:rsidR="00B4468C" w:rsidRPr="00B4468C">
        <w:rPr>
          <w:rFonts w:ascii="Arial Narrow" w:hAnsi="Arial Narrow"/>
          <w:i/>
          <w:sz w:val="20"/>
          <w:szCs w:val="20"/>
          <w:lang w:val="id-ID"/>
        </w:rPr>
        <w:t xml:space="preserve">return </w:t>
      </w:r>
      <w:r w:rsidR="00B4468C" w:rsidRPr="00B4468C">
        <w:rPr>
          <w:rFonts w:ascii="Arial Narrow" w:hAnsi="Arial Narrow"/>
          <w:sz w:val="20"/>
          <w:szCs w:val="20"/>
          <w:lang w:val="id-ID"/>
        </w:rPr>
        <w:t xml:space="preserve">saham, </w:t>
      </w:r>
      <w:r w:rsidR="00B4468C" w:rsidRPr="00B4468C">
        <w:rPr>
          <w:rFonts w:ascii="Arial Narrow" w:hAnsi="Arial Narrow"/>
          <w:i/>
          <w:sz w:val="20"/>
          <w:szCs w:val="20"/>
          <w:lang w:val="id-ID"/>
        </w:rPr>
        <w:t xml:space="preserve">return </w:t>
      </w:r>
      <w:r w:rsidR="00B4468C" w:rsidRPr="00B4468C">
        <w:rPr>
          <w:rFonts w:ascii="Arial Narrow" w:hAnsi="Arial Narrow"/>
          <w:sz w:val="20"/>
          <w:szCs w:val="20"/>
          <w:lang w:val="id-ID"/>
        </w:rPr>
        <w:t xml:space="preserve">bebas risiko, dan risiko saham. </w:t>
      </w:r>
      <w:r w:rsidR="00B4468C" w:rsidRPr="00B4468C">
        <w:rPr>
          <w:rFonts w:ascii="Arial Narrow" w:hAnsi="Arial Narrow"/>
          <w:i/>
          <w:sz w:val="20"/>
          <w:szCs w:val="20"/>
          <w:lang w:val="id-ID"/>
        </w:rPr>
        <w:t>Return</w:t>
      </w:r>
      <w:r w:rsidR="00B4468C" w:rsidRPr="00B4468C">
        <w:rPr>
          <w:rFonts w:ascii="Arial Narrow" w:hAnsi="Arial Narrow"/>
          <w:sz w:val="20"/>
          <w:szCs w:val="20"/>
          <w:lang w:val="id-ID"/>
        </w:rPr>
        <w:t xml:space="preserve"> bebas risiko diukur mengunakan variabel suku bunga yang digolongkan riba dan dilarang dalam konsep keuangan islam. Sedangkan risiko saham diukur dengan standar deviasi yang mengasumsikan data berdistribusi normal. Paper ini akan memodifikasi model </w:t>
      </w:r>
      <w:r w:rsidR="00B4468C" w:rsidRPr="00B4468C">
        <w:rPr>
          <w:rFonts w:ascii="Arial Narrow" w:hAnsi="Arial Narrow"/>
          <w:i/>
          <w:sz w:val="20"/>
          <w:szCs w:val="20"/>
          <w:lang w:val="id-ID"/>
        </w:rPr>
        <w:t>Sharpe Ratio</w:t>
      </w:r>
      <w:r w:rsidR="00B4468C" w:rsidRPr="00B4468C">
        <w:rPr>
          <w:rFonts w:ascii="Arial Narrow" w:hAnsi="Arial Narrow"/>
          <w:sz w:val="20"/>
          <w:szCs w:val="20"/>
          <w:lang w:val="id-ID"/>
        </w:rPr>
        <w:t xml:space="preserve"> dengan </w:t>
      </w:r>
      <w:r w:rsidR="00B4468C" w:rsidRPr="00B4468C">
        <w:rPr>
          <w:rFonts w:ascii="Arial Narrow" w:hAnsi="Arial Narrow"/>
          <w:sz w:val="20"/>
          <w:szCs w:val="20"/>
        </w:rPr>
        <w:t xml:space="preserve">mencari variabel alternatif penganti suku bunga dengan melakukan 4 (empat) pendekatan, yaitu: menghilangkan variabel suku bunga tersebut, mengganti dengan </w:t>
      </w:r>
      <w:r w:rsidR="00B4468C" w:rsidRPr="00B4468C">
        <w:rPr>
          <w:rFonts w:ascii="Arial Narrow" w:hAnsi="Arial Narrow"/>
          <w:i/>
          <w:sz w:val="20"/>
          <w:szCs w:val="20"/>
        </w:rPr>
        <w:t>zakat rate</w:t>
      </w:r>
      <w:r w:rsidR="00B4468C" w:rsidRPr="00B4468C">
        <w:rPr>
          <w:rFonts w:ascii="Arial Narrow" w:hAnsi="Arial Narrow"/>
          <w:sz w:val="20"/>
          <w:szCs w:val="20"/>
        </w:rPr>
        <w:t xml:space="preserve">, mengganti dengan inflasi, dan mengganti dengan </w:t>
      </w:r>
      <w:r w:rsidR="00B4468C" w:rsidRPr="00B4468C">
        <w:rPr>
          <w:rFonts w:ascii="Arial Narrow" w:hAnsi="Arial Narrow"/>
          <w:i/>
          <w:sz w:val="20"/>
          <w:szCs w:val="20"/>
        </w:rPr>
        <w:t>gross domestic produc</w:t>
      </w:r>
      <w:r w:rsidR="00B4468C" w:rsidRPr="00B4468C">
        <w:rPr>
          <w:rFonts w:ascii="Arial Narrow" w:hAnsi="Arial Narrow"/>
          <w:sz w:val="20"/>
          <w:szCs w:val="20"/>
        </w:rPr>
        <w:t xml:space="preserve"> (GDP)</w:t>
      </w:r>
      <w:r w:rsidR="00B4468C" w:rsidRPr="00B4468C">
        <w:rPr>
          <w:rFonts w:ascii="Arial Narrow" w:hAnsi="Arial Narrow"/>
          <w:sz w:val="20"/>
          <w:szCs w:val="20"/>
          <w:lang w:val="id-ID"/>
        </w:rPr>
        <w:t xml:space="preserve">, serta mengganti standar deviasi dengan </w:t>
      </w:r>
      <w:r w:rsidR="00B4468C" w:rsidRPr="00B4468C">
        <w:rPr>
          <w:rFonts w:ascii="Arial Narrow" w:hAnsi="Arial Narrow"/>
          <w:i/>
          <w:sz w:val="20"/>
          <w:szCs w:val="20"/>
          <w:lang w:val="id-ID"/>
        </w:rPr>
        <w:t>Value at Risk</w:t>
      </w:r>
      <w:r w:rsidR="00B4468C" w:rsidRPr="00B4468C">
        <w:rPr>
          <w:rFonts w:ascii="Arial Narrow" w:hAnsi="Arial Narrow"/>
          <w:sz w:val="20"/>
          <w:szCs w:val="20"/>
          <w:lang w:val="id-ID"/>
        </w:rPr>
        <w:t xml:space="preserve"> (VaR) sebagai pengukur risiko saham</w:t>
      </w:r>
      <w:r w:rsidR="00B4468C" w:rsidRPr="00B4468C">
        <w:rPr>
          <w:rFonts w:ascii="Arial Narrow" w:hAnsi="Arial Narrow"/>
          <w:sz w:val="20"/>
          <w:szCs w:val="20"/>
        </w:rPr>
        <w:t xml:space="preserve"> yang selanjutnya diimplementasikan pada pasar modal syariah di Indonesia periode Januari 2011 - Juli 2018. Hasil yang diperoleh adalah terdapat kesesuaian yang sangat tinggi untuk hasil pengukuran kelima model tersebut. Dilihat dari kedekatan hasil pengukuran kinerja, kelima model tersebut dapat dikelompokkan menjadi dua, yaitu model dengan tingkat suku bunga, inflasi, dan PDB sebagai kelompok pertama, sedangkan model tanpa suku bunga dan tingkat zakat sebagai kelompok kedua.</w:t>
      </w:r>
    </w:p>
    <w:p w:rsidR="00EC43AA" w:rsidRPr="00B4468C" w:rsidRDefault="00EC43AA" w:rsidP="00EC43AA">
      <w:pPr>
        <w:autoSpaceDE w:val="0"/>
        <w:autoSpaceDN w:val="0"/>
        <w:adjustRightInd w:val="0"/>
        <w:spacing w:after="0" w:line="240" w:lineRule="auto"/>
        <w:jc w:val="both"/>
        <w:rPr>
          <w:rFonts w:ascii="Arial Narrow" w:hAnsi="Arial Narrow" w:cs="Times New Roman"/>
          <w:i/>
          <w:sz w:val="20"/>
          <w:lang w:val="id-ID"/>
        </w:rPr>
      </w:pPr>
      <w:r w:rsidRPr="00B4468C">
        <w:rPr>
          <w:rFonts w:ascii="Arial Narrow" w:hAnsi="Arial Narrow" w:cs="Times New Roman"/>
          <w:b/>
          <w:i/>
          <w:sz w:val="20"/>
          <w:lang w:val="en-GB"/>
        </w:rPr>
        <w:t>Kata Kunci:</w:t>
      </w:r>
      <w:r w:rsidR="00B4468C">
        <w:rPr>
          <w:rFonts w:ascii="Arial Narrow" w:hAnsi="Arial Narrow"/>
          <w:i/>
          <w:sz w:val="20"/>
          <w:lang w:val="id-ID"/>
        </w:rPr>
        <w:t xml:space="preserve"> Keuangan Islam, Kinerja Saham Syariah, Modifikasi Sharpe Ratio, dan Value at Risk</w:t>
      </w:r>
    </w:p>
    <w:p w:rsidR="006E592A" w:rsidRPr="00B4468C" w:rsidRDefault="006E592A" w:rsidP="008E6FF2">
      <w:pPr>
        <w:spacing w:after="0" w:line="240" w:lineRule="auto"/>
        <w:ind w:right="84"/>
        <w:jc w:val="both"/>
        <w:rPr>
          <w:rFonts w:ascii="Arial Narrow" w:eastAsia="Calibri" w:hAnsi="Arial Narrow"/>
          <w:i/>
          <w:iCs/>
          <w:sz w:val="20"/>
          <w:szCs w:val="20"/>
        </w:rPr>
      </w:pPr>
    </w:p>
    <w:p w:rsidR="00201D8A" w:rsidRPr="006872D2" w:rsidRDefault="00645AE7" w:rsidP="007B119E">
      <w:pPr>
        <w:spacing w:after="0" w:line="240" w:lineRule="auto"/>
        <w:rPr>
          <w:rFonts w:asciiTheme="majorBidi" w:hAnsiTheme="majorBidi" w:cstheme="majorBidi"/>
          <w:b/>
          <w:sz w:val="20"/>
          <w:szCs w:val="20"/>
          <w:lang w:val="id-ID"/>
        </w:rPr>
      </w:pPr>
      <w:r w:rsidRPr="00645AE7">
        <w:rPr>
          <w:noProof/>
          <w:sz w:val="28"/>
          <w:szCs w:val="26"/>
        </w:rPr>
        <w:pict>
          <v:rect id="Rectangle 14" o:spid="_x0000_s1027" style="position:absolute;margin-left:-6.9pt;margin-top:362.5pt;width:386pt;height:5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" fillcolor="white [3212]" stroked="f" strokeweight="2pt">
            <v:textbox inset="0,0,0,0">
              <w:txbxContent>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969"/>
                    <w:gridCol w:w="3686"/>
                  </w:tblGrid>
                  <w:tr w:rsidR="00777FA3" w:rsidRPr="00524509" w:rsidTr="00E65492">
                    <w:tc>
                      <w:tcPr>
                        <w:tcW w:w="3969" w:type="dxa"/>
                        <w:shd w:val="clear" w:color="auto" w:fill="auto"/>
                      </w:tcPr>
                      <w:p w:rsidR="00777FA3" w:rsidRPr="00E65492" w:rsidRDefault="00777FA3" w:rsidP="00E65492">
                        <w:pPr>
                          <w:jc w:val="both"/>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 SHARE JurnalEkonomi dan Keuangan Islam </w:t>
                        </w:r>
                      </w:p>
                      <w:p w:rsidR="00777FA3" w:rsidRPr="00E65492" w:rsidRDefault="00777FA3" w:rsidP="00E65492">
                        <w:pPr>
                          <w:rPr>
                            <w:rFonts w:ascii="Times New Roman" w:hAnsi="Times New Roman" w:cs="Times New Roman"/>
                            <w:i/>
                            <w:color w:val="111111"/>
                            <w:sz w:val="18"/>
                            <w:szCs w:val="18"/>
                            <w:shd w:val="clear" w:color="auto" w:fill="FFFFFF"/>
                          </w:rPr>
                        </w:pPr>
                        <w:r w:rsidRPr="00E65492">
                          <w:rPr>
                            <w:rFonts w:ascii="Times New Roman" w:hAnsi="Times New Roman" w:cs="Times New Roman"/>
                            <w:i/>
                            <w:color w:val="000000" w:themeColor="text1"/>
                            <w:sz w:val="18"/>
                            <w:szCs w:val="18"/>
                          </w:rPr>
                          <w:t>ISSN:</w:t>
                        </w:r>
                        <w:r w:rsidRPr="00E65492">
                          <w:rPr>
                            <w:rFonts w:ascii="Times New Roman" w:hAnsi="Times New Roman" w:cs="Times New Roman"/>
                            <w:i/>
                            <w:color w:val="111111"/>
                            <w:sz w:val="18"/>
                            <w:szCs w:val="18"/>
                            <w:shd w:val="clear" w:color="auto" w:fill="FFFFFF"/>
                          </w:rPr>
                          <w:t xml:space="preserve"> 2089-6239 (P); 2549-0648 (E)</w:t>
                        </w:r>
                      </w:p>
                      <w:p w:rsidR="00777FA3" w:rsidRPr="00E65492" w:rsidRDefault="00777FA3" w:rsidP="00E65492">
                        <w:pPr>
                          <w:tabs>
                            <w:tab w:val="decimal" w:pos="2835"/>
                          </w:tabs>
                          <w:jc w:val="center"/>
                          <w:rPr>
                            <w:rFonts w:ascii="Times New Roman" w:hAnsi="Times New Roman" w:cs="Times New Roman"/>
                            <w:color w:val="000000" w:themeColor="text1"/>
                            <w:sz w:val="18"/>
                            <w:szCs w:val="18"/>
                          </w:rPr>
                        </w:pPr>
                      </w:p>
                    </w:tc>
                    <w:tc>
                      <w:tcPr>
                        <w:tcW w:w="3686" w:type="dxa"/>
                        <w:shd w:val="clear" w:color="auto" w:fill="auto"/>
                      </w:tcPr>
                      <w:p w:rsidR="00777FA3" w:rsidRPr="00E65492" w:rsidRDefault="00777FA3" w:rsidP="00E65492">
                        <w:pPr>
                          <w:ind w:right="-105"/>
                          <w:jc w:val="right"/>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Vol. </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xml:space="preserve">, No. </w:t>
                        </w:r>
                        <w:r>
                          <w:rPr>
                            <w:rFonts w:ascii="Times New Roman" w:hAnsi="Times New Roman" w:cs="Times New Roman"/>
                            <w:i/>
                            <w:color w:val="000000" w:themeColor="text1"/>
                            <w:sz w:val="18"/>
                            <w:szCs w:val="18"/>
                          </w:rPr>
                          <w:t>X</w:t>
                        </w:r>
                        <w:r w:rsidRPr="00E65492">
                          <w:rPr>
                            <w:rFonts w:ascii="Times New Roman" w:hAnsi="Times New Roman" w:cs="Times New Roman"/>
                            <w:i/>
                            <w:color w:val="000000" w:themeColor="text1"/>
                            <w:sz w:val="18"/>
                            <w:szCs w:val="18"/>
                          </w:rPr>
                          <w:t>, 20</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pp. 1-19</w:t>
                        </w:r>
                      </w:p>
                      <w:p w:rsidR="00777FA3" w:rsidRPr="00524509" w:rsidRDefault="00777FA3" w:rsidP="00E65492">
                        <w:pPr>
                          <w:ind w:right="-105"/>
                          <w:jc w:val="right"/>
                          <w:rPr>
                            <w:rFonts w:ascii="Times New Roman" w:hAnsi="Times New Roman" w:cs="Times New Roman"/>
                            <w:color w:val="000000" w:themeColor="text1"/>
                            <w:sz w:val="18"/>
                            <w:szCs w:val="18"/>
                          </w:rPr>
                        </w:pPr>
                        <w:r w:rsidRPr="00E65492">
                          <w:rPr>
                            <w:rFonts w:ascii="Times New Roman" w:hAnsi="Times New Roman" w:cs="Times New Roman"/>
                            <w:i/>
                            <w:color w:val="111111"/>
                            <w:sz w:val="18"/>
                            <w:szCs w:val="18"/>
                          </w:rPr>
                          <w:t xml:space="preserve">DOI: </w:t>
                        </w:r>
                        <w:hyperlink r:id="rId9" w:history="1">
                          <w:r w:rsidRPr="00E65492">
                            <w:rPr>
                              <w:rFonts w:ascii="Times New Roman" w:hAnsi="Times New Roman" w:cs="Times New Roman"/>
                              <w:i/>
                              <w:color w:val="111111"/>
                              <w:sz w:val="18"/>
                              <w:szCs w:val="18"/>
                            </w:rPr>
                            <w:t>10.22373/share.v6i1.</w:t>
                          </w:r>
                        </w:hyperlink>
                        <w:r>
                          <w:rPr>
                            <w:rFonts w:ascii="Times New Roman" w:hAnsi="Times New Roman" w:cs="Times New Roman"/>
                            <w:i/>
                            <w:color w:val="111111"/>
                            <w:sz w:val="18"/>
                            <w:szCs w:val="18"/>
                          </w:rPr>
                          <w:t>XXXX</w:t>
                        </w:r>
                      </w:p>
                    </w:tc>
                  </w:tr>
                </w:tbl>
                <w:p w:rsidR="00777FA3" w:rsidRPr="00524509" w:rsidRDefault="00777FA3" w:rsidP="00E65492">
                  <w:pPr>
                    <w:tabs>
                      <w:tab w:val="decimal" w:pos="2835"/>
                    </w:tabs>
                    <w:spacing w:after="0" w:line="240" w:lineRule="auto"/>
                    <w:rPr>
                      <w:rFonts w:ascii="Times New Roman" w:hAnsi="Times New Roman" w:cs="Times New Roman"/>
                      <w:color w:val="000000" w:themeColor="text1"/>
                      <w:sz w:val="18"/>
                      <w:szCs w:val="18"/>
                    </w:rPr>
                  </w:pPr>
                </w:p>
              </w:txbxContent>
            </v:textbox>
          </v:rect>
        </w:pict>
      </w:r>
      <w:r w:rsidR="00201D8A" w:rsidRPr="006872D2">
        <w:rPr>
          <w:rFonts w:asciiTheme="majorBidi" w:hAnsiTheme="majorBidi" w:cstheme="majorBidi"/>
          <w:b/>
          <w:sz w:val="20"/>
          <w:szCs w:val="20"/>
          <w:lang w:val="id-ID"/>
        </w:rPr>
        <w:br w:type="page"/>
      </w:r>
      <w:bookmarkStart w:id="0" w:name="_GoBack"/>
      <w:bookmarkEnd w:id="0"/>
    </w:p>
    <w:p w:rsidR="008E4E9C" w:rsidRPr="006872D2" w:rsidRDefault="008E4E9C" w:rsidP="008E4E9C">
      <w:pPr>
        <w:pStyle w:val="NoSpacing"/>
        <w:spacing w:before="100" w:beforeAutospacing="1" w:after="100" w:afterAutospacing="1" w:line="276" w:lineRule="auto"/>
        <w:jc w:val="both"/>
        <w:rPr>
          <w:rFonts w:ascii="Times New Roman" w:hAnsi="Times New Roman"/>
          <w:b/>
          <w:bCs/>
          <w:sz w:val="24"/>
          <w:szCs w:val="24"/>
          <w:lang w:val="en-GB"/>
        </w:rPr>
      </w:pPr>
      <w:r w:rsidRPr="006872D2">
        <w:rPr>
          <w:rFonts w:ascii="Times New Roman" w:hAnsi="Times New Roman"/>
          <w:b/>
          <w:bCs/>
          <w:sz w:val="24"/>
          <w:szCs w:val="24"/>
          <w:lang w:val="en-GB"/>
        </w:rPr>
        <w:lastRenderedPageBreak/>
        <w:t>INTRODUCTION</w:t>
      </w:r>
    </w:p>
    <w:p w:rsidR="005553AC" w:rsidRPr="00072B00" w:rsidRDefault="005553AC" w:rsidP="005553AC">
      <w:pPr>
        <w:pStyle w:val="NoSpacing"/>
        <w:jc w:val="both"/>
        <w:rPr>
          <w:rFonts w:ascii="Times New Roman" w:hAnsi="Times New Roman"/>
          <w:sz w:val="24"/>
          <w:szCs w:val="24"/>
          <w:lang w:val="id-ID" w:eastAsia="id-ID"/>
        </w:rPr>
      </w:pPr>
      <w:r w:rsidRPr="00072B00">
        <w:rPr>
          <w:rFonts w:ascii="Times New Roman" w:hAnsi="Times New Roman"/>
          <w:sz w:val="24"/>
          <w:szCs w:val="24"/>
          <w:lang w:val="id-ID" w:eastAsia="id-ID"/>
        </w:rPr>
        <w:t xml:space="preserve">Investment according to Islam is a muamalah activity that is highly recommended. By investing, owned assets become productive so </w:t>
      </w:r>
      <w:r>
        <w:rPr>
          <w:rFonts w:ascii="Times New Roman" w:hAnsi="Times New Roman"/>
          <w:sz w:val="24"/>
          <w:szCs w:val="24"/>
          <w:lang w:val="id-ID" w:eastAsia="id-ID"/>
        </w:rPr>
        <w:t>they</w:t>
      </w:r>
      <w:r w:rsidRPr="00072B00">
        <w:rPr>
          <w:rFonts w:ascii="Times New Roman" w:hAnsi="Times New Roman"/>
          <w:sz w:val="24"/>
          <w:szCs w:val="24"/>
          <w:lang w:val="id-ID" w:eastAsia="id-ID"/>
        </w:rPr>
        <w:t xml:space="preserve"> can bring benefits to themselves and others. </w:t>
      </w:r>
      <w:r w:rsidRPr="00072B00">
        <w:rPr>
          <w:rFonts w:ascii="Times New Roman" w:hAnsi="Times New Roman"/>
          <w:sz w:val="24"/>
          <w:szCs w:val="24"/>
          <w:lang w:val="id-ID"/>
        </w:rPr>
        <w:t>In general, in</w:t>
      </w:r>
      <w:r>
        <w:rPr>
          <w:rFonts w:ascii="Times New Roman" w:hAnsi="Times New Roman"/>
          <w:sz w:val="24"/>
          <w:szCs w:val="24"/>
          <w:lang w:val="id-ID"/>
        </w:rPr>
        <w:t>vestment can be divided into two</w:t>
      </w:r>
      <w:r w:rsidRPr="00072B00">
        <w:rPr>
          <w:rFonts w:ascii="Times New Roman" w:hAnsi="Times New Roman"/>
          <w:sz w:val="24"/>
          <w:szCs w:val="24"/>
          <w:lang w:val="id-ID"/>
        </w:rPr>
        <w:t>, namely real sector investment and financial sector investment. One form of investment rapidly growing financial sector in line with the development of information technology is investing in stocks on the capital market.</w:t>
      </w:r>
    </w:p>
    <w:p w:rsidR="005553AC" w:rsidRPr="00072B00" w:rsidRDefault="005553AC" w:rsidP="005553AC">
      <w:pPr>
        <w:spacing w:after="0" w:line="240" w:lineRule="auto"/>
        <w:jc w:val="both"/>
        <w:rPr>
          <w:rFonts w:ascii="Times New Roman" w:hAnsi="Times New Roman"/>
          <w:spacing w:val="3"/>
          <w:sz w:val="24"/>
          <w:szCs w:val="24"/>
          <w:shd w:val="clear" w:color="auto" w:fill="FFFFFF"/>
          <w:lang w:val="id-ID"/>
        </w:rPr>
      </w:pPr>
      <w:r w:rsidRPr="00072B00">
        <w:rPr>
          <w:rFonts w:ascii="Times New Roman" w:hAnsi="Times New Roman"/>
          <w:spacing w:val="3"/>
          <w:sz w:val="24"/>
          <w:szCs w:val="24"/>
          <w:shd w:val="clear" w:color="auto" w:fill="FFFFFF"/>
          <w:lang w:val="id-ID"/>
        </w:rPr>
        <w:t>The countries that first implemented Islamic principles in the capital market were Jordan in 1978 and Pakistan in 1980. While presently Islamic mutual funds are operating mainly in Saudi Arabia, UAE, Bahrain, Kuwait, Qatar, Pakistan, Malaysia, Brunei, Singapore, Germany, Ireland, the UK, the USA, Canada, Switzerland</w:t>
      </w:r>
      <w:r>
        <w:rPr>
          <w:rFonts w:ascii="Times New Roman" w:hAnsi="Times New Roman"/>
          <w:spacing w:val="3"/>
          <w:sz w:val="24"/>
          <w:szCs w:val="24"/>
          <w:shd w:val="clear" w:color="auto" w:fill="FFFFFF"/>
          <w:lang w:val="id-ID"/>
        </w:rPr>
        <w:t>,</w:t>
      </w:r>
      <w:r w:rsidRPr="00072B00">
        <w:rPr>
          <w:rFonts w:ascii="Times New Roman" w:hAnsi="Times New Roman"/>
          <w:spacing w:val="3"/>
          <w:sz w:val="24"/>
          <w:szCs w:val="24"/>
          <w:shd w:val="clear" w:color="auto" w:fill="FFFFFF"/>
          <w:lang w:val="id-ID"/>
        </w:rPr>
        <w:t xml:space="preserve"> and South Africa </w:t>
      </w:r>
      <w:r w:rsidRPr="00072B00">
        <w:rPr>
          <w:rFonts w:ascii="Times New Roman" w:hAnsi="Times New Roman"/>
          <w:sz w:val="24"/>
          <w:szCs w:val="24"/>
        </w:rPr>
        <w:t>(Ayub, 200</w:t>
      </w:r>
      <w:r w:rsidRPr="00072B00">
        <w:rPr>
          <w:rFonts w:ascii="Times New Roman" w:hAnsi="Times New Roman"/>
          <w:sz w:val="24"/>
          <w:szCs w:val="24"/>
          <w:lang w:val="id-ID"/>
        </w:rPr>
        <w:t>7</w:t>
      </w:r>
      <w:r w:rsidRPr="00072B00">
        <w:rPr>
          <w:rFonts w:ascii="Times New Roman" w:hAnsi="Times New Roman"/>
          <w:sz w:val="24"/>
          <w:szCs w:val="24"/>
        </w:rPr>
        <w:t>).</w:t>
      </w:r>
    </w:p>
    <w:p w:rsidR="005553AC" w:rsidRDefault="005553AC" w:rsidP="005553AC">
      <w:pPr>
        <w:pStyle w:val="NoSpacing"/>
        <w:jc w:val="both"/>
        <w:rPr>
          <w:rFonts w:ascii="Times New Roman" w:hAnsi="Times New Roman"/>
          <w:sz w:val="24"/>
          <w:szCs w:val="24"/>
          <w:lang w:val="id-ID"/>
        </w:rPr>
      </w:pPr>
      <w:r w:rsidRPr="00983D98">
        <w:rPr>
          <w:rFonts w:ascii="Times New Roman" w:hAnsi="Times New Roman"/>
          <w:sz w:val="24"/>
          <w:szCs w:val="24"/>
          <w:lang w:val="id-ID"/>
        </w:rPr>
        <w:t>In Indonesia, on July 3, 2000, the Jakarta Stock Exchange (JSX) published a list of Islamic mutual funds, stocks</w:t>
      </w:r>
      <w:r>
        <w:rPr>
          <w:rFonts w:ascii="Times New Roman" w:hAnsi="Times New Roman"/>
          <w:sz w:val="24"/>
          <w:szCs w:val="24"/>
          <w:lang w:val="id-ID"/>
        </w:rPr>
        <w:t>,</w:t>
      </w:r>
      <w:r w:rsidRPr="00983D98">
        <w:rPr>
          <w:rFonts w:ascii="Times New Roman" w:hAnsi="Times New Roman"/>
          <w:sz w:val="24"/>
          <w:szCs w:val="24"/>
          <w:lang w:val="id-ID"/>
        </w:rPr>
        <w:t xml:space="preserve"> and bonds in the Jakarta Islamic Index (JII). Since then, the Islamic capital market in Indonesia has experienced significant growth and shows the potential for development from year to year</w:t>
      </w:r>
      <w:r>
        <w:rPr>
          <w:rFonts w:ascii="Times New Roman" w:hAnsi="Times New Roman"/>
          <w:sz w:val="24"/>
          <w:szCs w:val="24"/>
          <w:lang w:val="id-ID"/>
        </w:rPr>
        <w:t xml:space="preserve">. </w:t>
      </w:r>
      <w:r w:rsidRPr="00072B00">
        <w:rPr>
          <w:rFonts w:ascii="Times New Roman" w:hAnsi="Times New Roman"/>
          <w:sz w:val="24"/>
          <w:szCs w:val="24"/>
          <w:lang w:val="id-ID"/>
        </w:rPr>
        <w:t>Based on the State of the Global Islamic Econ</w:t>
      </w:r>
      <w:r>
        <w:rPr>
          <w:rFonts w:ascii="Times New Roman" w:hAnsi="Times New Roman"/>
          <w:sz w:val="24"/>
          <w:szCs w:val="24"/>
          <w:lang w:val="id-ID"/>
        </w:rPr>
        <w:t>omy (GEI) Report in the last four</w:t>
      </w:r>
      <w:r w:rsidRPr="00072B00">
        <w:rPr>
          <w:rFonts w:ascii="Times New Roman" w:hAnsi="Times New Roman"/>
          <w:sz w:val="24"/>
          <w:szCs w:val="24"/>
          <w:lang w:val="id-ID"/>
        </w:rPr>
        <w:t xml:space="preserve"> years (2015/2016, 2016/2017, 2017/2018, and 2018/2019), Indonesia has always been in the top ten countries in the world that have health and development in the field of Islamic Finance. From 2015 - 2018, the number of Islamic stocks in Indonesia increased by 25% with large capitalization up by around 46%. </w:t>
      </w:r>
    </w:p>
    <w:p w:rsidR="005553AC" w:rsidRDefault="005553AC" w:rsidP="005553AC">
      <w:pPr>
        <w:pStyle w:val="NoSpacing"/>
        <w:outlineLvl w:val="0"/>
        <w:rPr>
          <w:rFonts w:ascii="Times New Roman" w:hAnsi="Times New Roman"/>
          <w:color w:val="000000"/>
          <w:sz w:val="24"/>
          <w:szCs w:val="24"/>
          <w:lang w:val="id-ID"/>
        </w:rPr>
      </w:pPr>
    </w:p>
    <w:p w:rsidR="005553AC" w:rsidRPr="005553AC" w:rsidRDefault="005553AC" w:rsidP="005553AC">
      <w:pPr>
        <w:pStyle w:val="NoSpacing"/>
        <w:jc w:val="center"/>
        <w:outlineLvl w:val="0"/>
        <w:rPr>
          <w:rFonts w:ascii="Times New Roman" w:hAnsi="Times New Roman"/>
          <w:color w:val="000000"/>
          <w:sz w:val="24"/>
          <w:szCs w:val="24"/>
          <w:lang w:val="id-ID"/>
        </w:rPr>
      </w:pPr>
      <w:r w:rsidRPr="005553AC">
        <w:rPr>
          <w:rFonts w:ascii="Times New Roman" w:hAnsi="Times New Roman"/>
          <w:color w:val="000000"/>
          <w:sz w:val="24"/>
          <w:szCs w:val="24"/>
        </w:rPr>
        <w:t>Tabl</w:t>
      </w:r>
      <w:r w:rsidRPr="005553AC">
        <w:rPr>
          <w:rFonts w:ascii="Times New Roman" w:hAnsi="Times New Roman"/>
          <w:color w:val="000000"/>
          <w:sz w:val="24"/>
          <w:szCs w:val="24"/>
          <w:lang w:val="id-ID"/>
        </w:rPr>
        <w:t>e</w:t>
      </w:r>
      <w:r w:rsidRPr="005553AC">
        <w:rPr>
          <w:rFonts w:ascii="Times New Roman" w:hAnsi="Times New Roman"/>
          <w:color w:val="000000"/>
          <w:sz w:val="24"/>
          <w:szCs w:val="24"/>
        </w:rPr>
        <w:t xml:space="preserve"> 1</w:t>
      </w:r>
      <w:r w:rsidRPr="005553AC">
        <w:rPr>
          <w:rFonts w:ascii="Times New Roman" w:hAnsi="Times New Roman"/>
          <w:color w:val="000000"/>
          <w:sz w:val="24"/>
          <w:szCs w:val="24"/>
          <w:lang w:val="id-ID"/>
        </w:rPr>
        <w:t xml:space="preserve"> </w:t>
      </w:r>
      <w:r w:rsidRPr="005553AC">
        <w:rPr>
          <w:rFonts w:ascii="Times New Roman" w:hAnsi="Times New Roman"/>
          <w:spacing w:val="3"/>
          <w:sz w:val="24"/>
          <w:szCs w:val="24"/>
          <w:shd w:val="clear" w:color="auto" w:fill="FFFFFF"/>
          <w:lang w:val="id-ID"/>
        </w:rPr>
        <w:t xml:space="preserve"> </w:t>
      </w:r>
      <w:r w:rsidRPr="005553AC">
        <w:rPr>
          <w:rFonts w:ascii="Times New Roman" w:hAnsi="Times New Roman"/>
          <w:spacing w:val="3"/>
          <w:sz w:val="24"/>
          <w:szCs w:val="24"/>
          <w:shd w:val="clear" w:color="auto" w:fill="FFFFFF"/>
        </w:rPr>
        <w:t>Indonesian Capital Market 2015 - 2018</w:t>
      </w:r>
    </w:p>
    <w:p w:rsidR="005553AC" w:rsidRPr="00072B00" w:rsidRDefault="005553AC" w:rsidP="005553AC">
      <w:pPr>
        <w:pStyle w:val="NoSpacing"/>
        <w:ind w:firstLine="720"/>
        <w:jc w:val="both"/>
        <w:rPr>
          <w:rFonts w:ascii="Montserrat" w:hAnsi="Montserrat"/>
          <w:spacing w:val="3"/>
          <w:sz w:val="23"/>
          <w:szCs w:val="23"/>
          <w:shd w:val="clear" w:color="auto" w:fill="FFFFFF"/>
          <w:lang w:val="id-ID"/>
        </w:rPr>
      </w:pPr>
    </w:p>
    <w:tbl>
      <w:tblPr>
        <w:tblW w:w="0" w:type="auto"/>
        <w:jc w:val="center"/>
        <w:tblLook w:val="04A0"/>
      </w:tblPr>
      <w:tblGrid>
        <w:gridCol w:w="3410"/>
        <w:gridCol w:w="1052"/>
        <w:gridCol w:w="940"/>
        <w:gridCol w:w="892"/>
        <w:gridCol w:w="892"/>
      </w:tblGrid>
      <w:tr w:rsidR="005553AC" w:rsidRPr="00B310E9" w:rsidTr="005553AC">
        <w:trPr>
          <w:trHeight w:val="121"/>
          <w:jc w:val="center"/>
        </w:trPr>
        <w:tc>
          <w:tcPr>
            <w:tcW w:w="3410" w:type="dxa"/>
            <w:vMerge w:val="restart"/>
            <w:tcBorders>
              <w:top w:val="single" w:sz="4" w:space="0" w:color="auto"/>
            </w:tcBorders>
            <w:shd w:val="clear" w:color="auto" w:fill="auto"/>
            <w:vAlign w:val="center"/>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Description</w:t>
            </w:r>
          </w:p>
        </w:tc>
        <w:tc>
          <w:tcPr>
            <w:tcW w:w="3776" w:type="dxa"/>
            <w:gridSpan w:val="4"/>
            <w:tcBorders>
              <w:top w:val="single" w:sz="4" w:space="0" w:color="auto"/>
            </w:tcBorders>
            <w:shd w:val="clear" w:color="auto" w:fill="auto"/>
            <w:vAlign w:val="center"/>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Year</w:t>
            </w:r>
          </w:p>
        </w:tc>
      </w:tr>
      <w:tr w:rsidR="005553AC" w:rsidRPr="00B310E9" w:rsidTr="005553AC">
        <w:trPr>
          <w:trHeight w:val="121"/>
          <w:jc w:val="center"/>
        </w:trPr>
        <w:tc>
          <w:tcPr>
            <w:tcW w:w="3410" w:type="dxa"/>
            <w:vMerge/>
            <w:tcBorders>
              <w:bottom w:val="single" w:sz="4" w:space="0" w:color="auto"/>
            </w:tcBorders>
            <w:shd w:val="clear" w:color="auto" w:fill="auto"/>
            <w:vAlign w:val="center"/>
          </w:tcPr>
          <w:p w:rsidR="005553AC" w:rsidRPr="005553AC" w:rsidRDefault="005553AC" w:rsidP="00386E5B">
            <w:pPr>
              <w:pStyle w:val="NoSpacing"/>
              <w:jc w:val="center"/>
              <w:rPr>
                <w:rFonts w:ascii="Times New Roman" w:eastAsia="Times New Roman" w:hAnsi="Times New Roman"/>
                <w:b/>
                <w:sz w:val="20"/>
                <w:szCs w:val="20"/>
                <w:lang w:val="id-ID" w:eastAsia="id-ID"/>
              </w:rPr>
            </w:pPr>
          </w:p>
        </w:tc>
        <w:tc>
          <w:tcPr>
            <w:tcW w:w="1052" w:type="dxa"/>
            <w:tcBorders>
              <w:bottom w:val="single" w:sz="4" w:space="0" w:color="auto"/>
            </w:tcBorders>
            <w:shd w:val="clear" w:color="auto" w:fill="auto"/>
            <w:vAlign w:val="center"/>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2015</w:t>
            </w:r>
          </w:p>
        </w:tc>
        <w:tc>
          <w:tcPr>
            <w:tcW w:w="940" w:type="dxa"/>
            <w:tcBorders>
              <w:bottom w:val="single" w:sz="4" w:space="0" w:color="auto"/>
            </w:tcBorders>
            <w:shd w:val="clear" w:color="auto" w:fill="auto"/>
            <w:vAlign w:val="center"/>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2016</w:t>
            </w:r>
          </w:p>
        </w:tc>
        <w:tc>
          <w:tcPr>
            <w:tcW w:w="892" w:type="dxa"/>
            <w:tcBorders>
              <w:bottom w:val="single" w:sz="4" w:space="0" w:color="auto"/>
            </w:tcBorders>
            <w:shd w:val="clear" w:color="auto" w:fill="auto"/>
            <w:vAlign w:val="center"/>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2017</w:t>
            </w:r>
          </w:p>
        </w:tc>
        <w:tc>
          <w:tcPr>
            <w:tcW w:w="892"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2018</w:t>
            </w:r>
          </w:p>
        </w:tc>
      </w:tr>
      <w:tr w:rsidR="005553AC" w:rsidRPr="00B310E9" w:rsidTr="005553AC">
        <w:trPr>
          <w:trHeight w:val="62"/>
          <w:jc w:val="center"/>
        </w:trPr>
        <w:tc>
          <w:tcPr>
            <w:tcW w:w="3410" w:type="dxa"/>
            <w:tcBorders>
              <w:top w:val="single" w:sz="4" w:space="0" w:color="auto"/>
            </w:tcBorders>
            <w:shd w:val="clear" w:color="auto" w:fill="auto"/>
            <w:vAlign w:val="center"/>
          </w:tcPr>
          <w:p w:rsidR="005553AC" w:rsidRPr="00B310E9" w:rsidRDefault="005553AC" w:rsidP="00386E5B">
            <w:pPr>
              <w:pStyle w:val="NoSpacing"/>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Number of Stock</w:t>
            </w:r>
          </w:p>
        </w:tc>
        <w:tc>
          <w:tcPr>
            <w:tcW w:w="1052" w:type="dxa"/>
            <w:tcBorders>
              <w:top w:val="single" w:sz="4" w:space="0" w:color="auto"/>
            </w:tcBorders>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521</w:t>
            </w:r>
          </w:p>
        </w:tc>
        <w:tc>
          <w:tcPr>
            <w:tcW w:w="940" w:type="dxa"/>
            <w:tcBorders>
              <w:top w:val="single" w:sz="4" w:space="0" w:color="auto"/>
            </w:tcBorders>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537</w:t>
            </w:r>
          </w:p>
        </w:tc>
        <w:tc>
          <w:tcPr>
            <w:tcW w:w="892" w:type="dxa"/>
            <w:tcBorders>
              <w:top w:val="single" w:sz="4" w:space="0" w:color="auto"/>
            </w:tcBorders>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566</w:t>
            </w:r>
          </w:p>
        </w:tc>
        <w:tc>
          <w:tcPr>
            <w:tcW w:w="892" w:type="dxa"/>
            <w:tcBorders>
              <w:top w:val="single" w:sz="4" w:space="0" w:color="auto"/>
            </w:tcBorders>
            <w:shd w:val="clear" w:color="auto" w:fill="auto"/>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619</w:t>
            </w:r>
          </w:p>
        </w:tc>
      </w:tr>
      <w:tr w:rsidR="005553AC" w:rsidRPr="00B310E9" w:rsidTr="005553AC">
        <w:trPr>
          <w:trHeight w:val="60"/>
          <w:jc w:val="center"/>
        </w:trPr>
        <w:tc>
          <w:tcPr>
            <w:tcW w:w="3410" w:type="dxa"/>
            <w:shd w:val="clear" w:color="auto" w:fill="auto"/>
            <w:vAlign w:val="center"/>
          </w:tcPr>
          <w:p w:rsidR="005553AC" w:rsidRPr="00B310E9" w:rsidRDefault="005553AC" w:rsidP="00386E5B">
            <w:pPr>
              <w:pStyle w:val="NoSpacing"/>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Number of  Islamic Stock</w:t>
            </w:r>
          </w:p>
        </w:tc>
        <w:tc>
          <w:tcPr>
            <w:tcW w:w="1052" w:type="dxa"/>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331</w:t>
            </w:r>
          </w:p>
        </w:tc>
        <w:tc>
          <w:tcPr>
            <w:tcW w:w="940" w:type="dxa"/>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345</w:t>
            </w:r>
          </w:p>
        </w:tc>
        <w:tc>
          <w:tcPr>
            <w:tcW w:w="892" w:type="dxa"/>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393</w:t>
            </w:r>
          </w:p>
        </w:tc>
        <w:tc>
          <w:tcPr>
            <w:tcW w:w="892" w:type="dxa"/>
            <w:shd w:val="clear" w:color="auto" w:fill="auto"/>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414</w:t>
            </w:r>
          </w:p>
        </w:tc>
      </w:tr>
      <w:tr w:rsidR="005553AC" w:rsidRPr="00B310E9" w:rsidTr="005553AC">
        <w:trPr>
          <w:trHeight w:val="60"/>
          <w:jc w:val="center"/>
        </w:trPr>
        <w:tc>
          <w:tcPr>
            <w:tcW w:w="3410" w:type="dxa"/>
            <w:shd w:val="clear" w:color="auto" w:fill="auto"/>
            <w:vAlign w:val="center"/>
          </w:tcPr>
          <w:p w:rsidR="005553AC" w:rsidRPr="00B310E9" w:rsidRDefault="005553AC" w:rsidP="00386E5B">
            <w:pPr>
              <w:pStyle w:val="NoSpacing"/>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Large Stock Capitalization*)</w:t>
            </w:r>
          </w:p>
        </w:tc>
        <w:tc>
          <w:tcPr>
            <w:tcW w:w="1052" w:type="dxa"/>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4796,80</w:t>
            </w:r>
          </w:p>
        </w:tc>
        <w:tc>
          <w:tcPr>
            <w:tcW w:w="940" w:type="dxa"/>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5753,61</w:t>
            </w:r>
          </w:p>
        </w:tc>
        <w:tc>
          <w:tcPr>
            <w:tcW w:w="892" w:type="dxa"/>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7052,39</w:t>
            </w:r>
          </w:p>
        </w:tc>
        <w:tc>
          <w:tcPr>
            <w:tcW w:w="892" w:type="dxa"/>
            <w:shd w:val="clear" w:color="auto" w:fill="auto"/>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7023,50</w:t>
            </w:r>
          </w:p>
        </w:tc>
      </w:tr>
      <w:tr w:rsidR="005553AC" w:rsidRPr="00B310E9" w:rsidTr="005553AC">
        <w:trPr>
          <w:trHeight w:val="304"/>
          <w:jc w:val="center"/>
        </w:trPr>
        <w:tc>
          <w:tcPr>
            <w:tcW w:w="3410" w:type="dxa"/>
            <w:tcBorders>
              <w:bottom w:val="single" w:sz="4" w:space="0" w:color="auto"/>
            </w:tcBorders>
            <w:shd w:val="clear" w:color="auto" w:fill="auto"/>
            <w:vAlign w:val="center"/>
          </w:tcPr>
          <w:p w:rsidR="005553AC" w:rsidRPr="00B310E9" w:rsidRDefault="005553AC" w:rsidP="00386E5B">
            <w:pPr>
              <w:pStyle w:val="NoSpacing"/>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Large Islamic Stock Capitalization *)</w:t>
            </w:r>
          </w:p>
        </w:tc>
        <w:tc>
          <w:tcPr>
            <w:tcW w:w="1052" w:type="dxa"/>
            <w:tcBorders>
              <w:bottom w:val="single" w:sz="4" w:space="0" w:color="auto"/>
            </w:tcBorders>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2600,85</w:t>
            </w:r>
          </w:p>
        </w:tc>
        <w:tc>
          <w:tcPr>
            <w:tcW w:w="940" w:type="dxa"/>
            <w:tcBorders>
              <w:bottom w:val="single" w:sz="4" w:space="0" w:color="auto"/>
            </w:tcBorders>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3175,05</w:t>
            </w:r>
          </w:p>
        </w:tc>
        <w:tc>
          <w:tcPr>
            <w:tcW w:w="892" w:type="dxa"/>
            <w:tcBorders>
              <w:bottom w:val="single" w:sz="4" w:space="0" w:color="auto"/>
            </w:tcBorders>
            <w:shd w:val="clear" w:color="auto" w:fill="auto"/>
            <w:vAlign w:val="center"/>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3704,54</w:t>
            </w:r>
          </w:p>
        </w:tc>
        <w:tc>
          <w:tcPr>
            <w:tcW w:w="892" w:type="dxa"/>
            <w:tcBorders>
              <w:bottom w:val="single" w:sz="4" w:space="0" w:color="auto"/>
            </w:tcBorders>
            <w:shd w:val="clear" w:color="auto" w:fill="auto"/>
          </w:tcPr>
          <w:p w:rsidR="005553AC" w:rsidRPr="00B310E9" w:rsidRDefault="005553AC" w:rsidP="00386E5B">
            <w:pPr>
              <w:pStyle w:val="NoSpacing"/>
              <w:jc w:val="center"/>
              <w:rPr>
                <w:rFonts w:ascii="Times New Roman" w:eastAsia="Times New Roman" w:hAnsi="Times New Roman"/>
                <w:sz w:val="20"/>
                <w:szCs w:val="20"/>
                <w:lang w:val="id-ID" w:eastAsia="id-ID"/>
              </w:rPr>
            </w:pPr>
            <w:r w:rsidRPr="00B310E9">
              <w:rPr>
                <w:rFonts w:ascii="Times New Roman" w:eastAsia="Times New Roman" w:hAnsi="Times New Roman"/>
                <w:sz w:val="20"/>
                <w:szCs w:val="20"/>
                <w:lang w:val="id-ID" w:eastAsia="id-ID"/>
              </w:rPr>
              <w:t>3666,69</w:t>
            </w:r>
          </w:p>
        </w:tc>
      </w:tr>
      <w:tr w:rsidR="005553AC" w:rsidRPr="00B310E9" w:rsidTr="005553AC">
        <w:trPr>
          <w:trHeight w:val="60"/>
          <w:jc w:val="center"/>
        </w:trPr>
        <w:tc>
          <w:tcPr>
            <w:tcW w:w="6294" w:type="dxa"/>
            <w:gridSpan w:val="4"/>
            <w:tcBorders>
              <w:top w:val="single" w:sz="4" w:space="0" w:color="auto"/>
            </w:tcBorders>
            <w:shd w:val="clear" w:color="auto" w:fill="auto"/>
            <w:vAlign w:val="center"/>
          </w:tcPr>
          <w:p w:rsidR="005553AC" w:rsidRPr="00B310E9" w:rsidRDefault="005553AC" w:rsidP="00386E5B">
            <w:pPr>
              <w:pStyle w:val="NoSpacing"/>
              <w:rPr>
                <w:rFonts w:ascii="Times New Roman" w:eastAsia="Times New Roman" w:hAnsi="Times New Roman"/>
                <w:sz w:val="16"/>
                <w:szCs w:val="16"/>
                <w:lang w:val="id-ID" w:eastAsia="id-ID"/>
              </w:rPr>
            </w:pPr>
            <w:r w:rsidRPr="00B310E9">
              <w:rPr>
                <w:rFonts w:ascii="Times New Roman" w:eastAsia="Times New Roman" w:hAnsi="Times New Roman"/>
                <w:sz w:val="16"/>
                <w:szCs w:val="16"/>
                <w:lang w:val="id-ID" w:eastAsia="id-ID"/>
              </w:rPr>
              <w:t>*) in Trillion Rupiah</w:t>
            </w:r>
          </w:p>
        </w:tc>
        <w:tc>
          <w:tcPr>
            <w:tcW w:w="892" w:type="dxa"/>
            <w:tcBorders>
              <w:top w:val="single" w:sz="4" w:space="0" w:color="auto"/>
            </w:tcBorders>
            <w:shd w:val="clear" w:color="auto" w:fill="auto"/>
          </w:tcPr>
          <w:p w:rsidR="005553AC" w:rsidRPr="00B310E9" w:rsidRDefault="005553AC" w:rsidP="00386E5B">
            <w:pPr>
              <w:pStyle w:val="NoSpacing"/>
              <w:rPr>
                <w:rFonts w:ascii="Times New Roman" w:eastAsia="Times New Roman" w:hAnsi="Times New Roman"/>
                <w:sz w:val="16"/>
                <w:szCs w:val="16"/>
                <w:lang w:val="id-ID" w:eastAsia="id-ID"/>
              </w:rPr>
            </w:pPr>
          </w:p>
        </w:tc>
      </w:tr>
      <w:tr w:rsidR="005553AC" w:rsidRPr="00B310E9" w:rsidTr="005553AC">
        <w:trPr>
          <w:trHeight w:val="60"/>
          <w:jc w:val="center"/>
        </w:trPr>
        <w:tc>
          <w:tcPr>
            <w:tcW w:w="6294" w:type="dxa"/>
            <w:gridSpan w:val="4"/>
            <w:shd w:val="clear" w:color="auto" w:fill="auto"/>
            <w:vAlign w:val="center"/>
          </w:tcPr>
          <w:p w:rsidR="005553AC" w:rsidRPr="00B310E9" w:rsidRDefault="005553AC" w:rsidP="00386E5B">
            <w:pPr>
              <w:pStyle w:val="NoSpacing"/>
              <w:rPr>
                <w:rFonts w:ascii="Times New Roman" w:eastAsia="Times New Roman" w:hAnsi="Times New Roman"/>
                <w:i/>
                <w:sz w:val="16"/>
                <w:szCs w:val="16"/>
                <w:lang w:val="id-ID" w:eastAsia="id-ID"/>
              </w:rPr>
            </w:pPr>
            <w:r w:rsidRPr="00B310E9">
              <w:rPr>
                <w:rFonts w:ascii="Times New Roman" w:eastAsia="Times New Roman" w:hAnsi="Times New Roman"/>
                <w:i/>
                <w:sz w:val="16"/>
                <w:szCs w:val="16"/>
                <w:lang w:val="id-ID" w:eastAsia="id-ID"/>
              </w:rPr>
              <w:t>Source: www.ojk.go.id (data processed)</w:t>
            </w:r>
          </w:p>
        </w:tc>
        <w:tc>
          <w:tcPr>
            <w:tcW w:w="892" w:type="dxa"/>
            <w:shd w:val="clear" w:color="auto" w:fill="auto"/>
          </w:tcPr>
          <w:p w:rsidR="005553AC" w:rsidRPr="00B310E9" w:rsidRDefault="005553AC" w:rsidP="00386E5B">
            <w:pPr>
              <w:pStyle w:val="NoSpacing"/>
              <w:rPr>
                <w:rFonts w:ascii="Times New Roman" w:eastAsia="Times New Roman" w:hAnsi="Times New Roman"/>
                <w:i/>
                <w:sz w:val="16"/>
                <w:szCs w:val="16"/>
                <w:lang w:val="id-ID" w:eastAsia="id-ID"/>
              </w:rPr>
            </w:pPr>
          </w:p>
        </w:tc>
      </w:tr>
    </w:tbl>
    <w:p w:rsidR="005553AC" w:rsidRPr="00072B00" w:rsidRDefault="005553AC" w:rsidP="005553AC">
      <w:pPr>
        <w:pStyle w:val="NoSpacing"/>
        <w:jc w:val="both"/>
        <w:rPr>
          <w:rFonts w:ascii="Times New Roman" w:hAnsi="Times New Roman"/>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Style w:val="tlid-translation"/>
          <w:rFonts w:ascii="Times New Roman" w:hAnsi="Times New Roman"/>
          <w:sz w:val="24"/>
          <w:szCs w:val="24"/>
        </w:rPr>
        <w:t xml:space="preserve">Stock investments in the capital market, including in </w:t>
      </w:r>
      <w:r w:rsidRPr="00072B00">
        <w:rPr>
          <w:rStyle w:val="tlid-translation"/>
          <w:rFonts w:ascii="Times New Roman" w:hAnsi="Times New Roman"/>
          <w:sz w:val="24"/>
          <w:szCs w:val="24"/>
          <w:lang w:val="id-ID"/>
        </w:rPr>
        <w:t xml:space="preserve">Islamic </w:t>
      </w:r>
      <w:r w:rsidRPr="00072B00">
        <w:rPr>
          <w:rStyle w:val="tlid-translation"/>
          <w:rFonts w:ascii="Times New Roman" w:hAnsi="Times New Roman"/>
          <w:sz w:val="24"/>
          <w:szCs w:val="24"/>
        </w:rPr>
        <w:t>stocks, are investments that have high risk but have a high level of profit (high risk-high return) (Jogiyanto, 2007).</w:t>
      </w:r>
      <w:r w:rsidRPr="00072B00">
        <w:rPr>
          <w:rStyle w:val="tlid-translation"/>
          <w:rFonts w:ascii="Times New Roman" w:hAnsi="Times New Roman"/>
          <w:sz w:val="24"/>
          <w:szCs w:val="24"/>
          <w:lang w:val="id-ID"/>
        </w:rPr>
        <w:t xml:space="preserve"> So it needs careful consideration before deciding to invest. As a </w:t>
      </w:r>
      <w:r>
        <w:rPr>
          <w:rStyle w:val="tlid-translation"/>
          <w:rFonts w:ascii="Times New Roman" w:hAnsi="Times New Roman"/>
          <w:sz w:val="24"/>
          <w:szCs w:val="24"/>
          <w:lang w:val="id-ID"/>
        </w:rPr>
        <w:t>M</w:t>
      </w:r>
      <w:r w:rsidRPr="00072B00">
        <w:rPr>
          <w:rStyle w:val="tlid-translation"/>
          <w:rFonts w:ascii="Times New Roman" w:hAnsi="Times New Roman"/>
          <w:sz w:val="24"/>
          <w:szCs w:val="24"/>
          <w:lang w:val="id-ID"/>
        </w:rPr>
        <w:t>uslim investor, one of them is 'How to choose Islamic stocks to be invested?'.</w:t>
      </w:r>
      <w:r w:rsidR="002D5CC1">
        <w:rPr>
          <w:rStyle w:val="tlid-translation"/>
          <w:rFonts w:ascii="Times New Roman" w:hAnsi="Times New Roman"/>
          <w:sz w:val="24"/>
          <w:szCs w:val="24"/>
          <w:lang w:val="id-ID"/>
        </w:rPr>
        <w:t xml:space="preserve"> </w:t>
      </w:r>
      <w:r w:rsidR="002D5CC1" w:rsidRPr="002D5CC1">
        <w:rPr>
          <w:rStyle w:val="tlid-translation"/>
          <w:rFonts w:ascii="Times New Roman" w:hAnsi="Times New Roman"/>
          <w:sz w:val="24"/>
          <w:szCs w:val="24"/>
          <w:lang w:val="id-ID"/>
        </w:rPr>
        <w:t>Muslim investors do not only expect to gain maximum returns, but their investments are also in harmony with Islamic principles</w:t>
      </w:r>
      <w:r w:rsidR="002D5CC1">
        <w:rPr>
          <w:rStyle w:val="tlid-translation"/>
          <w:rFonts w:ascii="Times New Roman" w:hAnsi="Times New Roman"/>
          <w:sz w:val="24"/>
          <w:szCs w:val="24"/>
          <w:lang w:val="id-ID"/>
        </w:rPr>
        <w:t xml:space="preserve"> (Yani, et. al, 2020).</w:t>
      </w:r>
    </w:p>
    <w:p w:rsidR="005553AC" w:rsidRPr="00072B00" w:rsidRDefault="005553AC" w:rsidP="005553AC">
      <w:pPr>
        <w:pStyle w:val="NoSpacing"/>
        <w:jc w:val="both"/>
        <w:rPr>
          <w:rStyle w:val="tlid-translation"/>
          <w:rFonts w:ascii="Times New Roman" w:hAnsi="Times New Roman"/>
          <w:sz w:val="24"/>
          <w:szCs w:val="24"/>
          <w:lang w:val="id-ID"/>
        </w:rPr>
      </w:pPr>
      <w:r w:rsidRPr="00072B00">
        <w:rPr>
          <w:rFonts w:ascii="Times New Roman" w:hAnsi="Times New Roman"/>
          <w:sz w:val="24"/>
          <w:szCs w:val="24"/>
        </w:rPr>
        <w:t xml:space="preserve">Since </w:t>
      </w:r>
      <w:r w:rsidRPr="00072B00">
        <w:rPr>
          <w:rFonts w:ascii="Times New Roman" w:hAnsi="Times New Roman"/>
          <w:sz w:val="24"/>
          <w:szCs w:val="24"/>
          <w:lang w:val="id-ID"/>
        </w:rPr>
        <w:t xml:space="preserve">the </w:t>
      </w:r>
      <w:r w:rsidRPr="00072B00">
        <w:rPr>
          <w:rFonts w:ascii="Times New Roman" w:hAnsi="Times New Roman"/>
          <w:sz w:val="24"/>
          <w:szCs w:val="24"/>
        </w:rPr>
        <w:t xml:space="preserve">late 1960s, </w:t>
      </w:r>
      <w:r w:rsidRPr="00072B00">
        <w:rPr>
          <w:rFonts w:ascii="Times New Roman" w:hAnsi="Times New Roman"/>
          <w:sz w:val="24"/>
          <w:szCs w:val="24"/>
          <w:lang w:val="id-ID"/>
        </w:rPr>
        <w:t xml:space="preserve">one of </w:t>
      </w:r>
      <w:r w:rsidRPr="00072B00">
        <w:rPr>
          <w:rFonts w:ascii="Times New Roman" w:hAnsi="Times New Roman"/>
          <w:sz w:val="24"/>
          <w:szCs w:val="24"/>
        </w:rPr>
        <w:t>the stock performance analysis tool</w:t>
      </w:r>
      <w:r>
        <w:rPr>
          <w:rFonts w:ascii="Times New Roman" w:hAnsi="Times New Roman"/>
          <w:sz w:val="24"/>
          <w:szCs w:val="24"/>
        </w:rPr>
        <w:t>s</w:t>
      </w:r>
      <w:r w:rsidRPr="00072B00">
        <w:rPr>
          <w:rFonts w:ascii="Times New Roman" w:hAnsi="Times New Roman"/>
          <w:sz w:val="24"/>
          <w:szCs w:val="24"/>
        </w:rPr>
        <w:t xml:space="preserve"> commonly used is</w:t>
      </w:r>
      <w:r w:rsidRPr="00072B00">
        <w:rPr>
          <w:rFonts w:ascii="Times New Roman" w:hAnsi="Times New Roman"/>
          <w:sz w:val="24"/>
          <w:szCs w:val="24"/>
          <w:lang w:val="id-ID"/>
        </w:rPr>
        <w:t xml:space="preserve"> </w:t>
      </w:r>
      <w:r w:rsidRPr="008B420C">
        <w:rPr>
          <w:rFonts w:ascii="Times New Roman" w:hAnsi="Times New Roman"/>
          <w:iCs/>
          <w:sz w:val="24"/>
          <w:szCs w:val="24"/>
        </w:rPr>
        <w:t>Sharpe Ratio</w:t>
      </w:r>
      <w:r w:rsidRPr="008B420C">
        <w:rPr>
          <w:rFonts w:ascii="Times New Roman" w:hAnsi="Times New Roman"/>
          <w:iCs/>
          <w:sz w:val="24"/>
          <w:szCs w:val="24"/>
          <w:lang w:val="id-ID"/>
        </w:rPr>
        <w:t>.</w:t>
      </w:r>
      <w:r w:rsidRPr="00072B00">
        <w:rPr>
          <w:rFonts w:ascii="Times New Roman" w:hAnsi="Times New Roman"/>
          <w:iCs/>
          <w:sz w:val="24"/>
          <w:szCs w:val="24"/>
          <w:lang w:val="id-ID"/>
        </w:rPr>
        <w:t xml:space="preserve"> </w:t>
      </w:r>
      <w:r w:rsidRPr="00072B00">
        <w:rPr>
          <w:rFonts w:ascii="Times New Roman" w:hAnsi="Times New Roman"/>
          <w:sz w:val="24"/>
          <w:szCs w:val="24"/>
          <w:lang w:val="id-ID"/>
        </w:rPr>
        <w:t>The Sharpe Ratio con</w:t>
      </w:r>
      <w:r>
        <w:rPr>
          <w:rFonts w:ascii="Times New Roman" w:hAnsi="Times New Roman"/>
          <w:sz w:val="24"/>
          <w:szCs w:val="24"/>
          <w:lang w:val="id-ID"/>
        </w:rPr>
        <w:t>sists of three</w:t>
      </w:r>
      <w:r w:rsidRPr="00072B00">
        <w:rPr>
          <w:rFonts w:ascii="Times New Roman" w:hAnsi="Times New Roman"/>
          <w:sz w:val="24"/>
          <w:szCs w:val="24"/>
          <w:lang w:val="id-ID"/>
        </w:rPr>
        <w:t xml:space="preserve"> components, namely stock return, risk-free returns, and stock risk. </w:t>
      </w:r>
      <w:r w:rsidRPr="00072B00">
        <w:rPr>
          <w:rStyle w:val="tlid-translation"/>
          <w:rFonts w:ascii="Times New Roman" w:hAnsi="Times New Roman"/>
          <w:sz w:val="24"/>
          <w:szCs w:val="24"/>
        </w:rPr>
        <w:t xml:space="preserve">Research on the performance analysis of Islamic stocks in Indonesia using </w:t>
      </w:r>
      <w:r w:rsidRPr="00072B00">
        <w:rPr>
          <w:rStyle w:val="tlid-translation"/>
          <w:rFonts w:ascii="Times New Roman" w:hAnsi="Times New Roman"/>
          <w:sz w:val="24"/>
          <w:szCs w:val="24"/>
          <w:lang w:val="id-ID"/>
        </w:rPr>
        <w:t xml:space="preserve">the </w:t>
      </w:r>
      <w:r w:rsidRPr="00072B00">
        <w:rPr>
          <w:rStyle w:val="tlid-translation"/>
          <w:rFonts w:ascii="Times New Roman" w:hAnsi="Times New Roman"/>
          <w:sz w:val="24"/>
          <w:szCs w:val="24"/>
        </w:rPr>
        <w:t>Sharpe Ratio</w:t>
      </w:r>
      <w:r w:rsidRPr="00072B00">
        <w:rPr>
          <w:rStyle w:val="tlid-translation"/>
          <w:rFonts w:ascii="Times New Roman" w:hAnsi="Times New Roman"/>
          <w:sz w:val="24"/>
          <w:szCs w:val="24"/>
          <w:lang w:val="id-ID"/>
        </w:rPr>
        <w:t xml:space="preserve"> </w:t>
      </w:r>
      <w:r w:rsidRPr="00072B00">
        <w:rPr>
          <w:rStyle w:val="tlid-translation"/>
          <w:rFonts w:ascii="Times New Roman" w:hAnsi="Times New Roman"/>
          <w:sz w:val="24"/>
          <w:szCs w:val="24"/>
        </w:rPr>
        <w:t>has been done</w:t>
      </w:r>
      <w:r w:rsidRPr="00072B00">
        <w:rPr>
          <w:rStyle w:val="tlid-translation"/>
          <w:rFonts w:ascii="Times New Roman" w:hAnsi="Times New Roman"/>
          <w:sz w:val="24"/>
          <w:szCs w:val="24"/>
          <w:lang w:val="id-ID"/>
        </w:rPr>
        <w:t xml:space="preserve"> and usually combines with Treynor Ratio and Jansen Index </w:t>
      </w:r>
      <w:r w:rsidRPr="00072B00">
        <w:rPr>
          <w:rFonts w:ascii="Times New Roman" w:hAnsi="Times New Roman"/>
          <w:sz w:val="24"/>
          <w:szCs w:val="24"/>
          <w:lang w:val="id-ID"/>
        </w:rPr>
        <w:t>(Utami</w:t>
      </w:r>
      <w:r>
        <w:rPr>
          <w:rFonts w:ascii="Times New Roman" w:hAnsi="Times New Roman"/>
          <w:sz w:val="24"/>
          <w:szCs w:val="24"/>
          <w:lang w:val="id-ID"/>
        </w:rPr>
        <w:t xml:space="preserve"> and Nugraha, </w:t>
      </w:r>
      <w:r w:rsidRPr="00072B00">
        <w:rPr>
          <w:rFonts w:ascii="Times New Roman" w:hAnsi="Times New Roman"/>
          <w:sz w:val="24"/>
          <w:szCs w:val="24"/>
          <w:lang w:val="id-ID"/>
        </w:rPr>
        <w:t>2011; Hasbullah, et. al</w:t>
      </w:r>
      <w:r>
        <w:rPr>
          <w:rFonts w:ascii="Times New Roman" w:hAnsi="Times New Roman"/>
          <w:sz w:val="24"/>
          <w:szCs w:val="24"/>
          <w:lang w:val="id-ID"/>
        </w:rPr>
        <w:t>.</w:t>
      </w:r>
      <w:r w:rsidRPr="00072B00">
        <w:rPr>
          <w:rFonts w:ascii="Times New Roman" w:hAnsi="Times New Roman"/>
          <w:sz w:val="24"/>
          <w:szCs w:val="24"/>
          <w:lang w:val="id-ID"/>
        </w:rPr>
        <w:t xml:space="preserve">, 2013; Setiawan and Oktariza, 2013; Andhyka, 2017). </w:t>
      </w:r>
      <w:r w:rsidRPr="00072B00">
        <w:rPr>
          <w:rStyle w:val="tlid-translation"/>
          <w:rFonts w:ascii="Times New Roman" w:hAnsi="Times New Roman"/>
          <w:sz w:val="24"/>
          <w:szCs w:val="24"/>
          <w:lang w:val="id-ID"/>
        </w:rPr>
        <w:t>Some</w:t>
      </w:r>
      <w:r w:rsidRPr="00072B00">
        <w:rPr>
          <w:rStyle w:val="tlid-translation"/>
          <w:rFonts w:ascii="Times New Roman" w:hAnsi="Times New Roman"/>
          <w:sz w:val="24"/>
          <w:szCs w:val="24"/>
        </w:rPr>
        <w:t xml:space="preserve"> studies compare the performance of Islamic stocks and conventional </w:t>
      </w:r>
      <w:r w:rsidRPr="00072B00">
        <w:rPr>
          <w:rStyle w:val="tlid-translation"/>
          <w:rFonts w:ascii="Times New Roman" w:hAnsi="Times New Roman"/>
          <w:sz w:val="24"/>
          <w:szCs w:val="24"/>
          <w:lang w:val="id-ID"/>
        </w:rPr>
        <w:t xml:space="preserve">stocks </w:t>
      </w:r>
      <w:r w:rsidRPr="00072B00">
        <w:rPr>
          <w:rFonts w:ascii="Times New Roman" w:hAnsi="Times New Roman"/>
          <w:sz w:val="24"/>
          <w:szCs w:val="24"/>
          <w:lang w:val="id-ID"/>
        </w:rPr>
        <w:t>(Hanafi and Hanafi, 2012; Hamzah and Yohanes, 201</w:t>
      </w:r>
      <w:r>
        <w:rPr>
          <w:rFonts w:ascii="Times New Roman" w:hAnsi="Times New Roman"/>
          <w:sz w:val="24"/>
          <w:szCs w:val="24"/>
          <w:lang w:val="id-ID"/>
        </w:rPr>
        <w:t>4</w:t>
      </w:r>
      <w:r w:rsidRPr="00072B00">
        <w:rPr>
          <w:rFonts w:ascii="Times New Roman" w:hAnsi="Times New Roman"/>
          <w:sz w:val="24"/>
          <w:szCs w:val="24"/>
          <w:lang w:val="id-ID"/>
        </w:rPr>
        <w:t>; Lestari, 2015; Kusum</w:t>
      </w:r>
      <w:r>
        <w:rPr>
          <w:rFonts w:ascii="Times New Roman" w:hAnsi="Times New Roman"/>
          <w:sz w:val="24"/>
          <w:szCs w:val="24"/>
          <w:lang w:val="id-ID"/>
        </w:rPr>
        <w:t xml:space="preserve">awati, 2016; Huda, </w:t>
      </w:r>
      <w:r w:rsidRPr="00072B00">
        <w:rPr>
          <w:rFonts w:ascii="Times New Roman" w:hAnsi="Times New Roman"/>
          <w:sz w:val="24"/>
          <w:szCs w:val="24"/>
          <w:lang w:val="id-ID"/>
        </w:rPr>
        <w:t>2017).</w:t>
      </w:r>
      <w:r w:rsidRPr="00072B00">
        <w:rPr>
          <w:rStyle w:val="tlid-translation"/>
          <w:rFonts w:ascii="Times New Roman" w:hAnsi="Times New Roman"/>
          <w:sz w:val="24"/>
          <w:szCs w:val="24"/>
          <w:lang w:val="id-ID"/>
        </w:rPr>
        <w:t xml:space="preserve"> </w:t>
      </w:r>
    </w:p>
    <w:p w:rsidR="005553AC" w:rsidRPr="00072B00" w:rsidRDefault="005553AC" w:rsidP="005553AC">
      <w:pPr>
        <w:pStyle w:val="NoSpacing"/>
        <w:jc w:val="both"/>
        <w:rPr>
          <w:rStyle w:val="tlid-translation"/>
          <w:rFonts w:ascii="Times New Roman" w:hAnsi="Times New Roman"/>
          <w:iCs/>
          <w:lang w:val="id-ID"/>
        </w:rPr>
      </w:pPr>
      <w:r w:rsidRPr="00072B00">
        <w:rPr>
          <w:rFonts w:ascii="Times New Roman" w:hAnsi="Times New Roman"/>
          <w:sz w:val="24"/>
          <w:szCs w:val="24"/>
          <w:lang w:val="id-ID"/>
        </w:rPr>
        <w:t>Risk-free</w:t>
      </w:r>
      <w:r w:rsidRPr="00072B00">
        <w:rPr>
          <w:rStyle w:val="tlid-translation"/>
          <w:rFonts w:ascii="Times New Roman" w:hAnsi="Times New Roman"/>
          <w:sz w:val="24"/>
          <w:szCs w:val="24"/>
        </w:rPr>
        <w:t xml:space="preserve"> returns</w:t>
      </w:r>
      <w:r w:rsidRPr="00072B00">
        <w:rPr>
          <w:rStyle w:val="tlid-translation"/>
          <w:rFonts w:ascii="Times New Roman" w:hAnsi="Times New Roman"/>
          <w:sz w:val="24"/>
          <w:szCs w:val="24"/>
          <w:lang w:val="id-ID"/>
        </w:rPr>
        <w:t xml:space="preserve"> in the Sharpe Ratio model</w:t>
      </w:r>
      <w:r w:rsidRPr="00072B00">
        <w:rPr>
          <w:rStyle w:val="tlid-translation"/>
          <w:rFonts w:ascii="Times New Roman" w:hAnsi="Times New Roman"/>
          <w:sz w:val="24"/>
          <w:szCs w:val="24"/>
        </w:rPr>
        <w:t xml:space="preserve"> in these studies are still approached with interest rates, </w:t>
      </w:r>
      <w:r w:rsidRPr="00072B00">
        <w:rPr>
          <w:rStyle w:val="tlid-translation"/>
          <w:rFonts w:ascii="Times New Roman" w:hAnsi="Times New Roman"/>
          <w:sz w:val="24"/>
          <w:szCs w:val="24"/>
          <w:lang w:val="id-ID"/>
        </w:rPr>
        <w:t>that is</w:t>
      </w:r>
      <w:r w:rsidRPr="00072B00">
        <w:rPr>
          <w:rStyle w:val="tlid-translation"/>
          <w:rFonts w:ascii="Times New Roman" w:hAnsi="Times New Roman"/>
          <w:sz w:val="24"/>
          <w:szCs w:val="24"/>
        </w:rPr>
        <w:t xml:space="preserve"> Bank Indonesia Certificates or BI Rate</w:t>
      </w:r>
      <w:r w:rsidRPr="00072B00">
        <w:rPr>
          <w:rStyle w:val="tlid-translation"/>
          <w:rFonts w:ascii="Times New Roman" w:hAnsi="Times New Roman"/>
          <w:sz w:val="24"/>
          <w:szCs w:val="24"/>
          <w:lang w:val="id-ID"/>
        </w:rPr>
        <w:t xml:space="preserve">. </w:t>
      </w:r>
      <w:r w:rsidRPr="00072B00">
        <w:rPr>
          <w:rStyle w:val="tlid-translation"/>
          <w:rFonts w:ascii="Times New Roman" w:hAnsi="Times New Roman"/>
          <w:sz w:val="24"/>
          <w:szCs w:val="24"/>
        </w:rPr>
        <w:t xml:space="preserve">While the concept of interest rates in Islam is classified as </w:t>
      </w:r>
      <w:r w:rsidRPr="00072B00">
        <w:rPr>
          <w:rStyle w:val="tlid-translation"/>
          <w:rFonts w:ascii="Times New Roman" w:hAnsi="Times New Roman"/>
          <w:i/>
          <w:sz w:val="24"/>
          <w:szCs w:val="24"/>
          <w:lang w:val="id-ID"/>
        </w:rPr>
        <w:t xml:space="preserve">riba </w:t>
      </w:r>
      <w:r w:rsidRPr="00072B00">
        <w:rPr>
          <w:rStyle w:val="tlid-translation"/>
          <w:rFonts w:ascii="Times New Roman" w:hAnsi="Times New Roman"/>
          <w:sz w:val="24"/>
          <w:szCs w:val="24"/>
        </w:rPr>
        <w:t xml:space="preserve">and </w:t>
      </w:r>
      <w:r w:rsidRPr="00072B00">
        <w:rPr>
          <w:rStyle w:val="tlid-translation"/>
          <w:rFonts w:ascii="Times New Roman" w:hAnsi="Times New Roman"/>
          <w:i/>
          <w:sz w:val="24"/>
          <w:szCs w:val="24"/>
          <w:lang w:val="id-ID"/>
        </w:rPr>
        <w:t>riba</w:t>
      </w:r>
      <w:r w:rsidRPr="00072B00">
        <w:rPr>
          <w:rStyle w:val="tlid-translation"/>
          <w:rFonts w:ascii="Times New Roman" w:hAnsi="Times New Roman"/>
          <w:sz w:val="24"/>
          <w:szCs w:val="24"/>
        </w:rPr>
        <w:t xml:space="preserve"> is expressly prohibited in the Al-Quran</w:t>
      </w:r>
      <w:r w:rsidRPr="00072B00">
        <w:rPr>
          <w:rFonts w:ascii="Times New Roman" w:hAnsi="Times New Roman"/>
          <w:sz w:val="24"/>
          <w:szCs w:val="24"/>
        </w:rPr>
        <w:t xml:space="preserve"> (QS. Al-Imran (130)).</w:t>
      </w:r>
    </w:p>
    <w:p w:rsidR="005553AC" w:rsidRPr="00072B00" w:rsidRDefault="005553AC" w:rsidP="005553AC">
      <w:pPr>
        <w:pStyle w:val="NoSpacing"/>
        <w:jc w:val="both"/>
        <w:rPr>
          <w:rFonts w:ascii="Times New Roman" w:hAnsi="Times New Roman"/>
          <w:sz w:val="24"/>
          <w:szCs w:val="24"/>
          <w:lang w:val="id-ID"/>
        </w:rPr>
      </w:pPr>
    </w:p>
    <w:p w:rsidR="005553AC" w:rsidRPr="00072B00" w:rsidRDefault="005553AC" w:rsidP="005553AC">
      <w:pPr>
        <w:pStyle w:val="NoSpacing"/>
        <w:jc w:val="right"/>
        <w:rPr>
          <w:rFonts w:ascii="Times New Roman" w:hAnsi="Times New Roman"/>
          <w:sz w:val="24"/>
          <w:szCs w:val="24"/>
        </w:rPr>
      </w:pPr>
      <w:r>
        <w:rPr>
          <w:rFonts w:ascii="Times New Roman" w:hAnsi="Times New Roman"/>
          <w:noProof/>
          <w:sz w:val="24"/>
          <w:szCs w:val="24"/>
          <w:lang w:val="id-ID" w:eastAsia="id-ID"/>
        </w:rPr>
        <w:drawing>
          <wp:inline distT="0" distB="0" distL="0" distR="0">
            <wp:extent cx="3733165" cy="398145"/>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33165" cy="398145"/>
                    </a:xfrm>
                    <a:prstGeom prst="rect">
                      <a:avLst/>
                    </a:prstGeom>
                    <a:noFill/>
                    <a:ln w="9525">
                      <a:noFill/>
                      <a:miter lim="800000"/>
                      <a:headEnd/>
                      <a:tailEnd/>
                    </a:ln>
                  </pic:spPr>
                </pic:pic>
              </a:graphicData>
            </a:graphic>
          </wp:inline>
        </w:drawing>
      </w:r>
    </w:p>
    <w:p w:rsidR="005553AC" w:rsidRPr="00072B00" w:rsidRDefault="005553AC" w:rsidP="005553AC">
      <w:pPr>
        <w:pStyle w:val="NoSpacing"/>
        <w:jc w:val="right"/>
        <w:rPr>
          <w:rFonts w:ascii="Times New Roman" w:hAnsi="Times New Roman"/>
          <w:sz w:val="24"/>
          <w:szCs w:val="24"/>
          <w:lang w:val="id-ID"/>
        </w:rPr>
      </w:pPr>
    </w:p>
    <w:p w:rsidR="005553AC" w:rsidRDefault="005553AC" w:rsidP="005553AC">
      <w:pPr>
        <w:pStyle w:val="NoSpacing"/>
        <w:ind w:left="426" w:right="429"/>
        <w:jc w:val="both"/>
        <w:rPr>
          <w:rFonts w:ascii="Times New Roman" w:hAnsi="Times New Roman"/>
          <w:sz w:val="24"/>
          <w:szCs w:val="24"/>
          <w:lang w:val="id-ID"/>
        </w:rPr>
      </w:pPr>
      <w:r w:rsidRPr="00072B00">
        <w:rPr>
          <w:rFonts w:ascii="Times New Roman" w:hAnsi="Times New Roman"/>
          <w:i/>
          <w:sz w:val="24"/>
          <w:szCs w:val="24"/>
        </w:rPr>
        <w:t xml:space="preserve">'O </w:t>
      </w:r>
      <w:r w:rsidRPr="00072B00">
        <w:rPr>
          <w:rFonts w:ascii="Times New Roman" w:hAnsi="Times New Roman"/>
          <w:i/>
          <w:sz w:val="24"/>
          <w:szCs w:val="24"/>
          <w:lang w:val="id-ID"/>
        </w:rPr>
        <w:t>people</w:t>
      </w:r>
      <w:r w:rsidRPr="00072B00">
        <w:rPr>
          <w:rFonts w:ascii="Times New Roman" w:hAnsi="Times New Roman"/>
          <w:i/>
          <w:sz w:val="24"/>
          <w:szCs w:val="24"/>
        </w:rPr>
        <w:t xml:space="preserve"> who believe, do not eat usury by multiplying and fearing God so that you may have good fortune' </w:t>
      </w:r>
      <w:r w:rsidRPr="00072B00">
        <w:rPr>
          <w:rFonts w:ascii="Times New Roman" w:hAnsi="Times New Roman"/>
          <w:sz w:val="24"/>
          <w:szCs w:val="24"/>
          <w:lang w:val="id-ID"/>
        </w:rPr>
        <w:t>(</w:t>
      </w:r>
      <w:r w:rsidRPr="00072B00">
        <w:rPr>
          <w:rFonts w:ascii="Times New Roman" w:hAnsi="Times New Roman"/>
          <w:sz w:val="24"/>
          <w:szCs w:val="24"/>
        </w:rPr>
        <w:t>QS. Al-Imran</w:t>
      </w:r>
      <w:r w:rsidRPr="00072B00">
        <w:rPr>
          <w:rFonts w:ascii="Times New Roman" w:hAnsi="Times New Roman"/>
          <w:sz w:val="24"/>
          <w:szCs w:val="24"/>
          <w:lang w:val="id-ID"/>
        </w:rPr>
        <w:t>:</w:t>
      </w:r>
      <w:r w:rsidRPr="00072B00">
        <w:rPr>
          <w:rFonts w:ascii="Times New Roman" w:hAnsi="Times New Roman"/>
          <w:sz w:val="24"/>
          <w:szCs w:val="24"/>
        </w:rPr>
        <w:t>130)</w:t>
      </w:r>
    </w:p>
    <w:p w:rsidR="005553AC" w:rsidRPr="00756259" w:rsidRDefault="005553AC" w:rsidP="005553AC">
      <w:pPr>
        <w:pStyle w:val="NoSpacing"/>
        <w:ind w:left="426" w:right="429"/>
        <w:jc w:val="both"/>
        <w:rPr>
          <w:rFonts w:ascii="Times New Roman" w:hAnsi="Times New Roman"/>
          <w:sz w:val="24"/>
          <w:szCs w:val="24"/>
          <w:shd w:val="clear" w:color="auto" w:fill="FFFFFF"/>
          <w:lang w:val="id-ID"/>
        </w:rPr>
      </w:pPr>
    </w:p>
    <w:p w:rsidR="005553AC" w:rsidRPr="00072B00" w:rsidRDefault="005553AC" w:rsidP="005553AC">
      <w:pPr>
        <w:pStyle w:val="NoSpacing"/>
        <w:jc w:val="both"/>
        <w:rPr>
          <w:rFonts w:ascii="Times New Roman" w:hAnsi="Times New Roman"/>
          <w:sz w:val="24"/>
          <w:szCs w:val="24"/>
          <w:lang w:val="id-ID"/>
        </w:rPr>
      </w:pPr>
      <w:r w:rsidRPr="00072B00">
        <w:rPr>
          <w:rStyle w:val="tlid-translation"/>
          <w:rFonts w:ascii="Times New Roman" w:hAnsi="Times New Roman"/>
          <w:sz w:val="24"/>
          <w:szCs w:val="24"/>
        </w:rPr>
        <w:t>While some researchers</w:t>
      </w:r>
      <w:r w:rsidRPr="00072B00">
        <w:rPr>
          <w:rStyle w:val="tlid-translation"/>
          <w:rFonts w:ascii="Times New Roman" w:hAnsi="Times New Roman"/>
          <w:sz w:val="24"/>
          <w:szCs w:val="24"/>
          <w:lang w:val="id-ID"/>
        </w:rPr>
        <w:t xml:space="preserve"> </w:t>
      </w:r>
      <w:r w:rsidRPr="00072B00">
        <w:rPr>
          <w:rFonts w:ascii="Times New Roman" w:hAnsi="Times New Roman"/>
          <w:sz w:val="24"/>
          <w:szCs w:val="24"/>
          <w:lang w:val="id-ID"/>
        </w:rPr>
        <w:t>(Kurniawan and Asandimitra, 2014; Rumintang and Azhari, 2015; Tulasmi and Trihariyanto, 2016</w:t>
      </w:r>
      <w:r>
        <w:rPr>
          <w:rFonts w:ascii="Times New Roman" w:hAnsi="Times New Roman"/>
          <w:sz w:val="24"/>
          <w:szCs w:val="24"/>
          <w:lang w:val="id-ID"/>
        </w:rPr>
        <w:t xml:space="preserve">; </w:t>
      </w:r>
      <w:r w:rsidRPr="00072B00">
        <w:rPr>
          <w:rFonts w:ascii="Times New Roman" w:hAnsi="Times New Roman"/>
          <w:sz w:val="24"/>
          <w:szCs w:val="24"/>
          <w:lang w:val="id-ID"/>
        </w:rPr>
        <w:t xml:space="preserve">) </w:t>
      </w:r>
      <w:r w:rsidRPr="00072B00">
        <w:rPr>
          <w:rStyle w:val="tlid-translation"/>
          <w:rFonts w:ascii="Times New Roman" w:hAnsi="Times New Roman"/>
          <w:sz w:val="24"/>
          <w:szCs w:val="24"/>
        </w:rPr>
        <w:t>approaching risk-free returns using Bank Indonesia Syariah Certificates (</w:t>
      </w:r>
      <w:r w:rsidRPr="00072B00">
        <w:rPr>
          <w:rStyle w:val="tlid-translation"/>
          <w:rFonts w:ascii="Times New Roman" w:hAnsi="Times New Roman"/>
          <w:sz w:val="24"/>
          <w:szCs w:val="24"/>
          <w:lang w:val="id-ID"/>
        </w:rPr>
        <w:t>SBIS</w:t>
      </w:r>
      <w:r w:rsidRPr="00072B00">
        <w:rPr>
          <w:rStyle w:val="tlid-translation"/>
          <w:rFonts w:ascii="Times New Roman" w:hAnsi="Times New Roman"/>
          <w:sz w:val="24"/>
          <w:szCs w:val="24"/>
        </w:rPr>
        <w:t>) or Bank Indonesia Syariah</w:t>
      </w:r>
      <w:r w:rsidRPr="00072B00">
        <w:rPr>
          <w:rStyle w:val="tlid-translation"/>
          <w:rFonts w:ascii="Times New Roman" w:hAnsi="Times New Roman"/>
          <w:sz w:val="24"/>
          <w:szCs w:val="24"/>
          <w:lang w:val="id-ID"/>
        </w:rPr>
        <w:t xml:space="preserve"> </w:t>
      </w:r>
      <w:r w:rsidRPr="00072B00">
        <w:rPr>
          <w:rStyle w:val="tlid-translation"/>
          <w:rFonts w:ascii="Times New Roman" w:hAnsi="Times New Roman"/>
          <w:sz w:val="24"/>
          <w:szCs w:val="24"/>
        </w:rPr>
        <w:t>Wadiah Deposits (</w:t>
      </w:r>
      <w:r w:rsidRPr="00072B00">
        <w:rPr>
          <w:rStyle w:val="tlid-translation"/>
          <w:rFonts w:ascii="Times New Roman" w:hAnsi="Times New Roman"/>
          <w:sz w:val="24"/>
          <w:szCs w:val="24"/>
          <w:lang w:val="id-ID"/>
        </w:rPr>
        <w:t>SWBI</w:t>
      </w:r>
      <w:r w:rsidRPr="00072B00">
        <w:rPr>
          <w:rStyle w:val="tlid-translation"/>
          <w:rFonts w:ascii="Times New Roman" w:hAnsi="Times New Roman"/>
          <w:sz w:val="24"/>
          <w:szCs w:val="24"/>
        </w:rPr>
        <w:t xml:space="preserve">). </w:t>
      </w:r>
      <w:r w:rsidRPr="00072B00">
        <w:rPr>
          <w:rStyle w:val="tlid-translation"/>
          <w:rFonts w:ascii="Times New Roman" w:hAnsi="Times New Roman"/>
          <w:sz w:val="24"/>
          <w:szCs w:val="24"/>
          <w:lang w:val="id-ID"/>
        </w:rPr>
        <w:t xml:space="preserve">Whereas some researchers from other countries approached it with interest rates in their </w:t>
      </w:r>
      <w:r w:rsidRPr="00072B00">
        <w:rPr>
          <w:rStyle w:val="tlid-translation"/>
          <w:rFonts w:ascii="Times New Roman" w:hAnsi="Times New Roman"/>
          <w:sz w:val="24"/>
          <w:szCs w:val="24"/>
        </w:rPr>
        <w:t>country such as the</w:t>
      </w:r>
      <w:r w:rsidRPr="00072B00">
        <w:rPr>
          <w:rStyle w:val="tlid-translation"/>
          <w:rFonts w:ascii="Times New Roman" w:hAnsi="Times New Roman"/>
          <w:sz w:val="24"/>
          <w:szCs w:val="24"/>
          <w:lang w:val="id-ID"/>
        </w:rPr>
        <w:t xml:space="preserve"> </w:t>
      </w:r>
      <w:r w:rsidRPr="00072B00">
        <w:rPr>
          <w:rFonts w:ascii="Times New Roman" w:hAnsi="Times New Roman"/>
          <w:sz w:val="24"/>
          <w:szCs w:val="24"/>
          <w:lang w:val="id-ID"/>
        </w:rPr>
        <w:t>Kuala Lumpur Inter-Bank Offered Rate (KLIBOR) (Mansor and Bhatti, 2011</w:t>
      </w:r>
      <w:r>
        <w:rPr>
          <w:rFonts w:ascii="Times New Roman" w:hAnsi="Times New Roman"/>
          <w:sz w:val="24"/>
          <w:szCs w:val="24"/>
          <w:lang w:val="id-ID"/>
        </w:rPr>
        <w:t>; Albaity and Ahmad, 2008</w:t>
      </w:r>
      <w:r w:rsidRPr="00072B00">
        <w:rPr>
          <w:rFonts w:ascii="Times New Roman" w:hAnsi="Times New Roman"/>
          <w:sz w:val="24"/>
          <w:szCs w:val="24"/>
          <w:lang w:val="id-ID"/>
        </w:rPr>
        <w:t xml:space="preserve">), Saudi Inter-Bank Offered Rate (SIBOR) (Merdad, et. al., 2010; Ashraf, 2013), Karachi Inter-Bank Offered Rate (KIBOR) (Shaikh, et. al., 2019). </w:t>
      </w: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Efforts to find a substitute variable for interest rates with other variables that do not conflict with Islamic financial principles have been carried out by Tomkin and Karim (1987), Sheikh (2009), El-Ashker (1987)</w:t>
      </w:r>
      <w:r>
        <w:rPr>
          <w:rFonts w:ascii="Times New Roman" w:hAnsi="Times New Roman"/>
          <w:sz w:val="24"/>
          <w:szCs w:val="24"/>
          <w:lang w:val="id-ID"/>
        </w:rPr>
        <w:t>,</w:t>
      </w:r>
      <w:r w:rsidRPr="00072B00">
        <w:rPr>
          <w:rFonts w:ascii="Times New Roman" w:hAnsi="Times New Roman"/>
          <w:sz w:val="24"/>
          <w:szCs w:val="24"/>
          <w:lang w:val="id-ID"/>
        </w:rPr>
        <w:t xml:space="preserve"> and Hanif (2011), all of whom modified the Capital Asset Pricing Model (CAPM). Tomkin and Karim eliminating interest rate, Sheikh replaces </w:t>
      </w:r>
      <w:r>
        <w:rPr>
          <w:rFonts w:ascii="Times New Roman" w:hAnsi="Times New Roman"/>
          <w:sz w:val="24"/>
          <w:szCs w:val="24"/>
          <w:lang w:val="id-ID"/>
        </w:rPr>
        <w:t>GDP</w:t>
      </w:r>
      <w:r w:rsidRPr="00072B00">
        <w:rPr>
          <w:rFonts w:ascii="Times New Roman" w:hAnsi="Times New Roman"/>
          <w:sz w:val="24"/>
          <w:szCs w:val="24"/>
          <w:lang w:val="id-ID"/>
        </w:rPr>
        <w:t xml:space="preserve">, El-Ashker replaces </w:t>
      </w:r>
      <w:r>
        <w:rPr>
          <w:rFonts w:ascii="Times New Roman" w:hAnsi="Times New Roman"/>
          <w:sz w:val="24"/>
          <w:szCs w:val="24"/>
          <w:lang w:val="id-ID"/>
        </w:rPr>
        <w:t>zakah</w:t>
      </w:r>
      <w:r w:rsidRPr="00072B00">
        <w:rPr>
          <w:rFonts w:ascii="Times New Roman" w:hAnsi="Times New Roman"/>
          <w:sz w:val="24"/>
          <w:szCs w:val="24"/>
          <w:lang w:val="id-ID"/>
        </w:rPr>
        <w:t xml:space="preserve"> rate, and Hanif replaces inflation. Furthermore, these models are known as Sharia</w:t>
      </w:r>
      <w:r>
        <w:rPr>
          <w:rFonts w:ascii="Times New Roman" w:hAnsi="Times New Roman"/>
          <w:sz w:val="24"/>
          <w:szCs w:val="24"/>
          <w:lang w:val="id-ID"/>
        </w:rPr>
        <w:t xml:space="preserve">'s </w:t>
      </w:r>
      <w:r w:rsidRPr="00072B00">
        <w:rPr>
          <w:rFonts w:ascii="Times New Roman" w:hAnsi="Times New Roman"/>
          <w:sz w:val="24"/>
          <w:szCs w:val="24"/>
          <w:lang w:val="id-ID"/>
        </w:rPr>
        <w:t>Complian</w:t>
      </w:r>
      <w:r>
        <w:rPr>
          <w:rFonts w:ascii="Times New Roman" w:hAnsi="Times New Roman"/>
          <w:sz w:val="24"/>
          <w:szCs w:val="24"/>
          <w:lang w:val="id-ID"/>
        </w:rPr>
        <w:t>t</w:t>
      </w:r>
      <w:r w:rsidRPr="00072B00">
        <w:rPr>
          <w:rFonts w:ascii="Times New Roman" w:hAnsi="Times New Roman"/>
          <w:sz w:val="24"/>
          <w:szCs w:val="24"/>
          <w:lang w:val="id-ID"/>
        </w:rPr>
        <w:t xml:space="preserve"> Asset Pricing Model (SCAPM) or Islamic Capital Asset Pricing Model (ICAPM).</w:t>
      </w: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In addition, the risk of the stock on the Sharpe Ratio is measured by standard deviations that assume returns that are normally distributed, while many stock returns are non</w:t>
      </w:r>
      <w:r>
        <w:rPr>
          <w:rFonts w:ascii="Times New Roman" w:hAnsi="Times New Roman"/>
          <w:sz w:val="24"/>
          <w:szCs w:val="24"/>
          <w:lang w:val="id-ID"/>
        </w:rPr>
        <w:t>-</w:t>
      </w:r>
      <w:r w:rsidRPr="00072B00">
        <w:rPr>
          <w:rFonts w:ascii="Times New Roman" w:hAnsi="Times New Roman"/>
          <w:sz w:val="24"/>
          <w:szCs w:val="24"/>
          <w:lang w:val="id-ID"/>
        </w:rPr>
        <w:t>normally distributed.</w:t>
      </w:r>
      <w:r w:rsidRPr="00072B00">
        <w:t xml:space="preserve"> </w:t>
      </w:r>
      <w:r w:rsidRPr="00072B00">
        <w:rPr>
          <w:rFonts w:ascii="Times New Roman" w:hAnsi="Times New Roman"/>
          <w:sz w:val="24"/>
          <w:szCs w:val="24"/>
          <w:lang w:val="id-ID"/>
        </w:rPr>
        <w:t>Because Sharpe Ratio is a reward-to-risk ratio, many studies replace standard deviations with other risk measures, such as Sorti</w:t>
      </w:r>
      <w:r>
        <w:rPr>
          <w:rFonts w:ascii="Times New Roman" w:hAnsi="Times New Roman"/>
          <w:sz w:val="24"/>
          <w:szCs w:val="24"/>
          <w:lang w:val="id-ID"/>
        </w:rPr>
        <w:t>n</w:t>
      </w:r>
      <w:r w:rsidRPr="00072B00">
        <w:rPr>
          <w:rFonts w:ascii="Times New Roman" w:hAnsi="Times New Roman"/>
          <w:sz w:val="24"/>
          <w:szCs w:val="24"/>
          <w:lang w:val="id-ID"/>
        </w:rPr>
        <w:t>o and Price (1994) and Ziemba (2005) replace standard deviations with downside deviations. Down (2000) and Gregoriou and Gueyie (2003) use Value at Risk (VaR) to measure risk in the Sharpe Ratio.</w:t>
      </w:r>
    </w:p>
    <w:p w:rsidR="006B5427" w:rsidRPr="005553AC" w:rsidRDefault="005553AC" w:rsidP="005553AC">
      <w:pPr>
        <w:pStyle w:val="NoSpacing"/>
        <w:jc w:val="both"/>
        <w:rPr>
          <w:rFonts w:ascii="Times New Roman" w:hAnsi="Times New Roman"/>
          <w:sz w:val="24"/>
          <w:szCs w:val="24"/>
          <w:lang w:val="id-ID" w:eastAsia="id-ID"/>
        </w:rPr>
      </w:pPr>
      <w:r w:rsidRPr="00072B00">
        <w:rPr>
          <w:rFonts w:ascii="Times New Roman" w:hAnsi="Times New Roman"/>
          <w:sz w:val="24"/>
          <w:szCs w:val="24"/>
          <w:lang w:val="id-ID"/>
        </w:rPr>
        <w:t>This paper will modify the Sharpe Ratio by changing interest rates with 4 (four) approaches,</w:t>
      </w:r>
      <w:r w:rsidRPr="00072B00">
        <w:rPr>
          <w:rFonts w:ascii="Times New Roman" w:hAnsi="Times New Roman"/>
          <w:sz w:val="24"/>
          <w:szCs w:val="24"/>
          <w:lang w:val="id-ID" w:eastAsia="id-ID"/>
        </w:rPr>
        <w:t xml:space="preserve"> namely: eliminating interest rates, changing </w:t>
      </w:r>
      <w:r>
        <w:rPr>
          <w:rFonts w:ascii="Times New Roman" w:hAnsi="Times New Roman"/>
          <w:sz w:val="24"/>
          <w:szCs w:val="24"/>
          <w:lang w:val="id-ID" w:eastAsia="id-ID"/>
        </w:rPr>
        <w:t>zakah</w:t>
      </w:r>
      <w:r w:rsidRPr="00072B00">
        <w:rPr>
          <w:rFonts w:ascii="Times New Roman" w:hAnsi="Times New Roman"/>
          <w:sz w:val="24"/>
          <w:szCs w:val="24"/>
          <w:lang w:val="id-ID" w:eastAsia="id-ID"/>
        </w:rPr>
        <w:t xml:space="preserve"> rates, changing inflation, and changing </w:t>
      </w:r>
      <w:r>
        <w:rPr>
          <w:rFonts w:ascii="Times New Roman" w:hAnsi="Times New Roman"/>
          <w:sz w:val="24"/>
          <w:szCs w:val="24"/>
          <w:lang w:val="id-ID" w:eastAsia="id-ID"/>
        </w:rPr>
        <w:t>GDP</w:t>
      </w:r>
      <w:r w:rsidRPr="00072B00">
        <w:rPr>
          <w:rFonts w:ascii="Times New Roman" w:hAnsi="Times New Roman"/>
          <w:sz w:val="24"/>
          <w:szCs w:val="24"/>
          <w:lang w:val="id-ID" w:eastAsia="id-ID"/>
        </w:rPr>
        <w:t>, and using Value at Risk (VaR) as a measure of stock risk. Then implement it in the Indonesia Stock Exchange (IDX), which is Islamic stocks listed in the Jakarta Islamic Index (JII) for the period January 2011 - July 2018 for testing the models.</w:t>
      </w:r>
    </w:p>
    <w:p w:rsidR="00DA2AFA" w:rsidRDefault="009D00F6" w:rsidP="00DA2AFA">
      <w:pPr>
        <w:spacing w:before="100" w:beforeAutospacing="1" w:after="100" w:afterAutospacing="1"/>
        <w:jc w:val="both"/>
        <w:rPr>
          <w:rFonts w:ascii="Times New Roman" w:hAnsi="Times New Roman"/>
          <w:b/>
          <w:sz w:val="24"/>
          <w:szCs w:val="24"/>
        </w:rPr>
      </w:pPr>
      <w:r>
        <w:rPr>
          <w:rFonts w:ascii="Times New Roman" w:hAnsi="Times New Roman"/>
          <w:b/>
          <w:sz w:val="24"/>
          <w:szCs w:val="24"/>
        </w:rPr>
        <w:t>LITERATURE REVIEW</w:t>
      </w:r>
    </w:p>
    <w:p w:rsidR="005553AC" w:rsidRPr="00072B00"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Jakarta Islamic Index (JII)</w:t>
      </w:r>
    </w:p>
    <w:p w:rsidR="005553AC" w:rsidRDefault="005553AC" w:rsidP="005553AC">
      <w:pPr>
        <w:pStyle w:val="NoSpacing"/>
        <w:jc w:val="both"/>
        <w:rPr>
          <w:rStyle w:val="tlid-translation"/>
          <w:rFonts w:ascii="Times New Roman" w:hAnsi="Times New Roman"/>
          <w:sz w:val="24"/>
          <w:szCs w:val="24"/>
          <w:lang w:val="id-ID"/>
        </w:rPr>
      </w:pPr>
    </w:p>
    <w:p w:rsidR="005553AC" w:rsidRPr="00072B00" w:rsidRDefault="005553AC" w:rsidP="005553AC">
      <w:pPr>
        <w:pStyle w:val="NoSpacing"/>
        <w:jc w:val="both"/>
        <w:rPr>
          <w:rFonts w:ascii="Times New Roman" w:hAnsi="Times New Roman"/>
          <w:b/>
          <w:sz w:val="24"/>
          <w:szCs w:val="24"/>
        </w:rPr>
      </w:pPr>
      <w:r w:rsidRPr="00072B00">
        <w:rPr>
          <w:rStyle w:val="tlid-translation"/>
          <w:rFonts w:ascii="Times New Roman" w:hAnsi="Times New Roman"/>
          <w:sz w:val="24"/>
          <w:szCs w:val="24"/>
        </w:rPr>
        <w:t xml:space="preserve">On July 3, 2000, the Indonesia Stock Exchange in cooperation with PT Danareksa Investment Management (DIM) launched a stock index made based on Islamic sharia, the Jakarta Islamic Index (JII). This index is expected to be a benchmark for the performance of sharia-based stocks and to further develop the Islamic capital market. JII consists of </w:t>
      </w:r>
      <w:r w:rsidRPr="00072B00">
        <w:rPr>
          <w:rStyle w:val="tlid-translation"/>
          <w:rFonts w:ascii="Times New Roman" w:hAnsi="Times New Roman"/>
          <w:sz w:val="24"/>
          <w:szCs w:val="24"/>
          <w:lang w:val="id-ID"/>
        </w:rPr>
        <w:t xml:space="preserve"> </w:t>
      </w:r>
      <w:r w:rsidRPr="00072B00">
        <w:rPr>
          <w:rStyle w:val="tlid-translation"/>
          <w:rFonts w:ascii="Times New Roman" w:hAnsi="Times New Roman"/>
          <w:sz w:val="24"/>
          <w:szCs w:val="24"/>
        </w:rPr>
        <w:t xml:space="preserve">30 shares selected from stocks that are </w:t>
      </w:r>
      <w:r w:rsidRPr="00072B00">
        <w:rPr>
          <w:rStyle w:val="tlid-translation"/>
          <w:rFonts w:ascii="Times New Roman" w:hAnsi="Times New Roman"/>
          <w:sz w:val="24"/>
          <w:szCs w:val="24"/>
          <w:lang w:val="id-ID"/>
        </w:rPr>
        <w:t>following</w:t>
      </w:r>
      <w:r w:rsidRPr="00072B00">
        <w:rPr>
          <w:rStyle w:val="tlid-translation"/>
          <w:rFonts w:ascii="Times New Roman" w:hAnsi="Times New Roman"/>
          <w:sz w:val="24"/>
          <w:szCs w:val="24"/>
        </w:rPr>
        <w:t xml:space="preserve"> Islamic sharia, whose shares are conducted by Bappepam-LK in collaboration with the Dewan</w:t>
      </w:r>
      <w:r>
        <w:rPr>
          <w:rStyle w:val="tlid-translation"/>
          <w:rFonts w:ascii="Times New Roman" w:hAnsi="Times New Roman"/>
          <w:sz w:val="24"/>
          <w:szCs w:val="24"/>
          <w:lang w:val="id-ID"/>
        </w:rPr>
        <w:t xml:space="preserve"> </w:t>
      </w:r>
      <w:r w:rsidRPr="00072B00">
        <w:rPr>
          <w:rStyle w:val="tlid-translation"/>
          <w:rFonts w:ascii="Times New Roman" w:hAnsi="Times New Roman"/>
          <w:sz w:val="24"/>
          <w:szCs w:val="24"/>
        </w:rPr>
        <w:t>Syariah</w:t>
      </w:r>
      <w:r>
        <w:rPr>
          <w:rStyle w:val="tlid-translation"/>
          <w:rFonts w:ascii="Times New Roman" w:hAnsi="Times New Roman"/>
          <w:sz w:val="24"/>
          <w:szCs w:val="24"/>
          <w:lang w:val="id-ID"/>
        </w:rPr>
        <w:t xml:space="preserve"> </w:t>
      </w:r>
      <w:r w:rsidRPr="00072B00">
        <w:rPr>
          <w:rStyle w:val="tlid-translation"/>
          <w:rFonts w:ascii="Times New Roman" w:hAnsi="Times New Roman"/>
          <w:sz w:val="24"/>
          <w:szCs w:val="24"/>
        </w:rPr>
        <w:t xml:space="preserve">Nasional (DSN) every </w:t>
      </w:r>
      <w:r>
        <w:rPr>
          <w:rStyle w:val="tlid-translation"/>
          <w:rFonts w:ascii="Times New Roman" w:hAnsi="Times New Roman"/>
          <w:sz w:val="24"/>
          <w:szCs w:val="24"/>
          <w:lang w:val="id-ID"/>
        </w:rPr>
        <w:t>six</w:t>
      </w:r>
      <w:r w:rsidRPr="00072B00">
        <w:rPr>
          <w:rStyle w:val="tlid-translation"/>
          <w:rFonts w:ascii="Times New Roman" w:hAnsi="Times New Roman"/>
          <w:sz w:val="24"/>
          <w:szCs w:val="24"/>
        </w:rPr>
        <w:t xml:space="preserve"> months through </w:t>
      </w:r>
      <w:r>
        <w:rPr>
          <w:rStyle w:val="tlid-translation"/>
          <w:rFonts w:ascii="Times New Roman" w:hAnsi="Times New Roman"/>
          <w:sz w:val="24"/>
          <w:szCs w:val="24"/>
          <w:lang w:val="id-ID"/>
        </w:rPr>
        <w:t>two</w:t>
      </w:r>
      <w:r w:rsidRPr="00072B00">
        <w:rPr>
          <w:rStyle w:val="tlid-translation"/>
          <w:rFonts w:ascii="Times New Roman" w:hAnsi="Times New Roman"/>
          <w:sz w:val="24"/>
          <w:szCs w:val="24"/>
        </w:rPr>
        <w:t xml:space="preserve"> stages, namely sharia selection and transaction volume value selection.</w:t>
      </w:r>
    </w:p>
    <w:p w:rsidR="005553AC" w:rsidRDefault="005553AC" w:rsidP="005553AC">
      <w:pPr>
        <w:pStyle w:val="NoSpacing"/>
        <w:jc w:val="both"/>
        <w:rPr>
          <w:rFonts w:ascii="Times New Roman" w:hAnsi="Times New Roman"/>
          <w:b/>
          <w:sz w:val="24"/>
          <w:szCs w:val="24"/>
          <w:lang w:val="id-ID"/>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9"/>
      </w:tblGrid>
      <w:tr w:rsidR="005553AC" w:rsidRPr="00B310E9" w:rsidTr="005553AC">
        <w:trPr>
          <w:jc w:val="center"/>
        </w:trPr>
        <w:tc>
          <w:tcPr>
            <w:tcW w:w="7938" w:type="dxa"/>
            <w:shd w:val="clear" w:color="auto" w:fill="D9D9D9"/>
            <w:vAlign w:val="center"/>
          </w:tcPr>
          <w:p w:rsidR="005553AC" w:rsidRPr="00B310E9" w:rsidRDefault="005553AC" w:rsidP="00386E5B">
            <w:pPr>
              <w:pStyle w:val="NoSpacing"/>
              <w:jc w:val="center"/>
              <w:rPr>
                <w:rFonts w:ascii="Times New Roman" w:eastAsia="Times New Roman" w:hAnsi="Times New Roman"/>
                <w:b/>
                <w:lang w:eastAsia="id-ID"/>
              </w:rPr>
            </w:pPr>
            <w:r w:rsidRPr="00B310E9">
              <w:rPr>
                <w:rFonts w:ascii="Times New Roman" w:eastAsia="Times New Roman" w:hAnsi="Times New Roman"/>
                <w:b/>
                <w:lang w:eastAsia="id-ID"/>
              </w:rPr>
              <w:t>Sharia Selection</w:t>
            </w:r>
          </w:p>
        </w:tc>
      </w:tr>
      <w:tr w:rsidR="005553AC" w:rsidRPr="00B310E9" w:rsidTr="005553AC">
        <w:trPr>
          <w:jc w:val="center"/>
        </w:trPr>
        <w:tc>
          <w:tcPr>
            <w:tcW w:w="7938" w:type="dxa"/>
            <w:vAlign w:val="center"/>
          </w:tcPr>
          <w:p w:rsidR="005553AC" w:rsidRPr="00B310E9" w:rsidRDefault="005553AC" w:rsidP="00386E5B">
            <w:pPr>
              <w:pStyle w:val="NoSpacing"/>
              <w:jc w:val="center"/>
              <w:rPr>
                <w:rFonts w:ascii="Times New Roman" w:eastAsia="Times New Roman" w:hAnsi="Times New Roman"/>
                <w:lang w:val="id-ID" w:eastAsia="id-ID"/>
              </w:rPr>
            </w:pPr>
            <w:r w:rsidRPr="00B310E9">
              <w:rPr>
                <w:rStyle w:val="tlid-translation"/>
                <w:rFonts w:ascii="Times New Roman" w:eastAsia="Times New Roman" w:hAnsi="Times New Roman"/>
                <w:lang w:eastAsia="id-ID"/>
              </w:rPr>
              <w:t>Emitents</w:t>
            </w:r>
            <w:r w:rsidRPr="00B310E9">
              <w:rPr>
                <w:rStyle w:val="tlid-translation"/>
                <w:rFonts w:ascii="Times New Roman" w:eastAsia="Times New Roman" w:hAnsi="Times New Roman"/>
                <w:lang w:val="id-ID" w:eastAsia="id-ID"/>
              </w:rPr>
              <w:t xml:space="preserve"> do not run gambling/game businesses classified as gambling, and trade</w:t>
            </w:r>
            <w:r w:rsidRPr="00B310E9">
              <w:rPr>
                <w:rStyle w:val="tlid-translation"/>
                <w:rFonts w:ascii="Times New Roman" w:eastAsia="Times New Roman" w:hAnsi="Times New Roman"/>
                <w:lang w:eastAsia="id-ID"/>
              </w:rPr>
              <w:t xml:space="preserve"> that</w:t>
            </w:r>
            <w:r w:rsidRPr="00B310E9">
              <w:rPr>
                <w:rStyle w:val="tlid-translation"/>
                <w:rFonts w:ascii="Times New Roman" w:eastAsia="Times New Roman" w:hAnsi="Times New Roman"/>
                <w:lang w:val="id-ID" w:eastAsia="id-ID"/>
              </w:rPr>
              <w:t xml:space="preserve"> is prohibited</w:t>
            </w:r>
          </w:p>
        </w:tc>
      </w:tr>
      <w:tr w:rsidR="005553AC" w:rsidRPr="00B310E9" w:rsidTr="005553AC">
        <w:trPr>
          <w:jc w:val="center"/>
        </w:trPr>
        <w:tc>
          <w:tcPr>
            <w:tcW w:w="7938" w:type="dxa"/>
            <w:vAlign w:val="center"/>
          </w:tcPr>
          <w:p w:rsidR="005553AC" w:rsidRPr="00B310E9" w:rsidRDefault="005553AC" w:rsidP="00386E5B">
            <w:pPr>
              <w:pStyle w:val="NoSpacing"/>
              <w:jc w:val="center"/>
              <w:rPr>
                <w:rFonts w:ascii="Times New Roman" w:eastAsia="Times New Roman" w:hAnsi="Times New Roman"/>
                <w:i/>
                <w:lang w:val="id-ID" w:eastAsia="id-ID"/>
              </w:rPr>
            </w:pPr>
            <w:r w:rsidRPr="00B310E9">
              <w:rPr>
                <w:rStyle w:val="tlid-translation"/>
                <w:rFonts w:ascii="Times New Roman" w:eastAsia="Times New Roman" w:hAnsi="Times New Roman"/>
                <w:lang w:val="id-ID" w:eastAsia="id-ID"/>
              </w:rPr>
              <w:t>Not producing, distributing, and providing goods/services that are morally damaging and harmful</w:t>
            </w:r>
          </w:p>
        </w:tc>
      </w:tr>
      <w:tr w:rsidR="005553AC" w:rsidRPr="00B310E9" w:rsidTr="005553AC">
        <w:trPr>
          <w:jc w:val="center"/>
        </w:trPr>
        <w:tc>
          <w:tcPr>
            <w:tcW w:w="7938" w:type="dxa"/>
            <w:vAlign w:val="center"/>
          </w:tcPr>
          <w:p w:rsidR="005553AC" w:rsidRPr="00B310E9" w:rsidRDefault="005553AC" w:rsidP="00386E5B">
            <w:pPr>
              <w:pStyle w:val="NoSpacing"/>
              <w:jc w:val="center"/>
              <w:rPr>
                <w:rFonts w:ascii="Times New Roman" w:eastAsia="Times New Roman" w:hAnsi="Times New Roman"/>
                <w:lang w:val="id-ID" w:eastAsia="id-ID"/>
              </w:rPr>
            </w:pPr>
            <w:r w:rsidRPr="00570405">
              <w:rPr>
                <w:rFonts w:ascii="Times New Roman" w:eastAsia="Times New Roman" w:hAnsi="Times New Roman"/>
                <w:noProof/>
                <w:sz w:val="20"/>
                <w:szCs w:val="20"/>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30" type="#_x0000_t68" style="position:absolute;left:0;text-align:left;margin-left:178.65pt;margin-top:1.4pt;width:19.15pt;height:9.7pt;rotation:18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" fillcolor="black"/>
              </w:pict>
            </w:r>
          </w:p>
        </w:tc>
      </w:tr>
      <w:tr w:rsidR="005553AC" w:rsidRPr="00B310E9" w:rsidTr="005553AC">
        <w:trPr>
          <w:jc w:val="center"/>
        </w:trPr>
        <w:tc>
          <w:tcPr>
            <w:tcW w:w="7938" w:type="dxa"/>
            <w:shd w:val="clear" w:color="auto" w:fill="D9D9D9"/>
            <w:vAlign w:val="center"/>
          </w:tcPr>
          <w:p w:rsidR="005553AC" w:rsidRPr="00B310E9" w:rsidRDefault="005553AC" w:rsidP="00386E5B">
            <w:pPr>
              <w:pStyle w:val="NoSpacing"/>
              <w:jc w:val="center"/>
              <w:rPr>
                <w:rFonts w:ascii="Times New Roman" w:eastAsia="Times New Roman" w:hAnsi="Times New Roman"/>
                <w:b/>
                <w:lang w:val="id-ID" w:eastAsia="id-ID"/>
              </w:rPr>
            </w:pPr>
            <w:r w:rsidRPr="00B310E9">
              <w:rPr>
                <w:rFonts w:ascii="Times New Roman" w:eastAsia="Times New Roman" w:hAnsi="Times New Roman"/>
                <w:b/>
                <w:lang w:eastAsia="id-ID"/>
              </w:rPr>
              <w:t>Sharia Selection</w:t>
            </w:r>
          </w:p>
        </w:tc>
      </w:tr>
      <w:tr w:rsidR="005553AC" w:rsidRPr="00B310E9" w:rsidTr="005553AC">
        <w:trPr>
          <w:jc w:val="center"/>
        </w:trPr>
        <w:tc>
          <w:tcPr>
            <w:tcW w:w="7938" w:type="dxa"/>
            <w:vAlign w:val="center"/>
          </w:tcPr>
          <w:p w:rsidR="005553AC" w:rsidRPr="00B310E9" w:rsidRDefault="005553AC" w:rsidP="00386E5B">
            <w:pPr>
              <w:pStyle w:val="NoSpacing"/>
              <w:jc w:val="center"/>
              <w:rPr>
                <w:rFonts w:ascii="Times New Roman" w:eastAsia="Times New Roman" w:hAnsi="Times New Roman"/>
                <w:lang w:val="id-ID" w:eastAsia="id-ID"/>
              </w:rPr>
            </w:pPr>
            <w:r w:rsidRPr="00B310E9">
              <w:rPr>
                <w:rFonts w:ascii="Times New Roman" w:eastAsia="Times New Roman" w:hAnsi="Times New Roman"/>
                <w:lang w:val="id-ID" w:eastAsia="id-ID"/>
              </w:rPr>
              <w:t>This process filters 60 shares with the highest market capitalist value on the Indonesia Stock Exchange (IDX)</w:t>
            </w:r>
          </w:p>
        </w:tc>
      </w:tr>
      <w:tr w:rsidR="005553AC" w:rsidRPr="00B310E9" w:rsidTr="005553AC">
        <w:trPr>
          <w:jc w:val="center"/>
        </w:trPr>
        <w:tc>
          <w:tcPr>
            <w:tcW w:w="7938" w:type="dxa"/>
            <w:vAlign w:val="center"/>
          </w:tcPr>
          <w:p w:rsidR="005553AC" w:rsidRPr="00B310E9" w:rsidRDefault="005553AC" w:rsidP="00386E5B">
            <w:pPr>
              <w:pStyle w:val="NoSpacing"/>
              <w:jc w:val="center"/>
              <w:rPr>
                <w:rFonts w:ascii="Times New Roman" w:eastAsia="Times New Roman" w:hAnsi="Times New Roman"/>
                <w:lang w:val="id-ID" w:eastAsia="id-ID"/>
              </w:rPr>
            </w:pPr>
            <w:r w:rsidRPr="00570405">
              <w:rPr>
                <w:rFonts w:ascii="Times New Roman" w:eastAsia="Times New Roman" w:hAnsi="Times New Roman"/>
                <w:noProof/>
                <w:sz w:val="20"/>
                <w:szCs w:val="20"/>
                <w:lang w:val="en-US"/>
              </w:rPr>
              <w:pict>
                <v:shape id="_x0000_s1031" type="#_x0000_t68" style="position:absolute;left:0;text-align:left;margin-left:179.25pt;margin-top:1.8pt;width:19.15pt;height:9.7pt;rotation:18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" fillcolor="black"/>
              </w:pict>
            </w:r>
          </w:p>
        </w:tc>
      </w:tr>
      <w:tr w:rsidR="005553AC" w:rsidRPr="00B310E9" w:rsidTr="005553AC">
        <w:trPr>
          <w:jc w:val="center"/>
        </w:trPr>
        <w:tc>
          <w:tcPr>
            <w:tcW w:w="7938" w:type="dxa"/>
            <w:shd w:val="clear" w:color="auto" w:fill="D9D9D9"/>
            <w:vAlign w:val="center"/>
          </w:tcPr>
          <w:p w:rsidR="005553AC" w:rsidRPr="00B310E9" w:rsidRDefault="005553AC" w:rsidP="00386E5B">
            <w:pPr>
              <w:pStyle w:val="NoSpacing"/>
              <w:jc w:val="center"/>
              <w:rPr>
                <w:rFonts w:ascii="Times New Roman" w:eastAsia="Times New Roman" w:hAnsi="Times New Roman"/>
                <w:b/>
                <w:noProof/>
                <w:lang w:val="id-ID" w:eastAsia="id-ID"/>
              </w:rPr>
            </w:pPr>
            <w:r w:rsidRPr="00B310E9">
              <w:rPr>
                <w:rFonts w:ascii="Times New Roman" w:eastAsia="Times New Roman" w:hAnsi="Times New Roman"/>
                <w:b/>
                <w:lang w:val="id-ID" w:eastAsia="id-ID"/>
              </w:rPr>
              <w:t>Select Value of Transaction Volume</w:t>
            </w:r>
          </w:p>
        </w:tc>
      </w:tr>
      <w:tr w:rsidR="005553AC" w:rsidRPr="00B310E9" w:rsidTr="005553AC">
        <w:trPr>
          <w:jc w:val="center"/>
        </w:trPr>
        <w:tc>
          <w:tcPr>
            <w:tcW w:w="7938" w:type="dxa"/>
            <w:vAlign w:val="center"/>
          </w:tcPr>
          <w:p w:rsidR="005553AC" w:rsidRPr="00B310E9" w:rsidRDefault="005553AC" w:rsidP="00386E5B">
            <w:pPr>
              <w:pStyle w:val="NoSpacing"/>
              <w:jc w:val="center"/>
              <w:rPr>
                <w:rFonts w:ascii="Times New Roman" w:eastAsia="Times New Roman" w:hAnsi="Times New Roman"/>
                <w:lang w:val="id-ID" w:eastAsia="id-ID"/>
              </w:rPr>
            </w:pPr>
            <w:r w:rsidRPr="00570405">
              <w:rPr>
                <w:rFonts w:ascii="Times New Roman" w:eastAsia="Times New Roman" w:hAnsi="Times New Roman"/>
                <w:noProof/>
                <w:sz w:val="20"/>
                <w:szCs w:val="20"/>
                <w:lang w:val="en-US"/>
              </w:rPr>
              <w:pict>
                <v:shape id="_x0000_s1032" type="#_x0000_t68" style="position:absolute;left:0;text-align:left;margin-left:178.85pt;margin-top:24.9pt;width:19.15pt;height:9.7pt;rotation:18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" fillcolor="black"/>
              </w:pict>
            </w:r>
            <w:r w:rsidRPr="00B310E9">
              <w:rPr>
                <w:rStyle w:val="tlid-translation"/>
                <w:rFonts w:ascii="Times New Roman" w:eastAsia="Times New Roman" w:hAnsi="Times New Roman"/>
                <w:lang w:val="id-ID" w:eastAsia="id-ID"/>
              </w:rPr>
              <w:t>This process filters 30 shares with the highest daily average transaction value on the Indonesia Stock Exchange (IDX)</w:t>
            </w:r>
          </w:p>
        </w:tc>
      </w:tr>
      <w:tr w:rsidR="005553AC" w:rsidRPr="00B310E9" w:rsidTr="005553AC">
        <w:trPr>
          <w:jc w:val="center"/>
        </w:trPr>
        <w:tc>
          <w:tcPr>
            <w:tcW w:w="7938" w:type="dxa"/>
            <w:vAlign w:val="center"/>
          </w:tcPr>
          <w:p w:rsidR="005553AC" w:rsidRPr="00B310E9" w:rsidRDefault="005553AC" w:rsidP="00386E5B">
            <w:pPr>
              <w:pStyle w:val="NoSpacing"/>
              <w:rPr>
                <w:rFonts w:ascii="Times New Roman" w:eastAsia="Times New Roman" w:hAnsi="Times New Roman"/>
                <w:lang w:val="id-ID" w:eastAsia="id-ID"/>
              </w:rPr>
            </w:pPr>
          </w:p>
        </w:tc>
      </w:tr>
      <w:tr w:rsidR="005553AC" w:rsidRPr="00B310E9" w:rsidTr="005553AC">
        <w:trPr>
          <w:jc w:val="center"/>
        </w:trPr>
        <w:tc>
          <w:tcPr>
            <w:tcW w:w="7938" w:type="dxa"/>
            <w:shd w:val="clear" w:color="auto" w:fill="D9D9D9"/>
            <w:vAlign w:val="center"/>
          </w:tcPr>
          <w:p w:rsidR="005553AC" w:rsidRPr="00B310E9" w:rsidRDefault="005553AC" w:rsidP="00386E5B">
            <w:pPr>
              <w:pStyle w:val="NoSpacing"/>
              <w:jc w:val="center"/>
              <w:rPr>
                <w:rFonts w:ascii="Times New Roman" w:eastAsia="Times New Roman" w:hAnsi="Times New Roman"/>
                <w:b/>
                <w:noProof/>
                <w:lang w:val="id-ID" w:eastAsia="id-ID"/>
              </w:rPr>
            </w:pPr>
            <w:r w:rsidRPr="00B310E9">
              <w:rPr>
                <w:rFonts w:ascii="Times New Roman" w:eastAsia="Times New Roman" w:hAnsi="Times New Roman"/>
                <w:b/>
                <w:lang w:val="id-ID" w:eastAsia="id-ID"/>
              </w:rPr>
              <w:t xml:space="preserve">EVALUATION PROCESS OF </w:t>
            </w:r>
            <w:r>
              <w:rPr>
                <w:rFonts w:ascii="Times New Roman" w:eastAsia="Times New Roman" w:hAnsi="Times New Roman"/>
                <w:b/>
                <w:lang w:val="id-ID" w:eastAsia="id-ID"/>
              </w:rPr>
              <w:t>STOCKS</w:t>
            </w:r>
            <w:r w:rsidRPr="00B310E9">
              <w:rPr>
                <w:rFonts w:ascii="Times New Roman" w:eastAsia="Times New Roman" w:hAnsi="Times New Roman"/>
                <w:b/>
                <w:lang w:val="id-ID" w:eastAsia="id-ID"/>
              </w:rPr>
              <w:t xml:space="preserve"> EVERY 6 </w:t>
            </w:r>
            <w:r w:rsidRPr="00B310E9">
              <w:rPr>
                <w:rFonts w:ascii="Times New Roman" w:eastAsia="Times New Roman" w:hAnsi="Times New Roman"/>
                <w:b/>
                <w:lang w:eastAsia="id-ID"/>
              </w:rPr>
              <w:t>MONTHS AT</w:t>
            </w:r>
            <w:r w:rsidRPr="00B310E9">
              <w:rPr>
                <w:rFonts w:ascii="Times New Roman" w:eastAsia="Times New Roman" w:hAnsi="Times New Roman"/>
                <w:b/>
                <w:lang w:val="id-ID" w:eastAsia="id-ID"/>
              </w:rPr>
              <w:t xml:space="preserve"> ONCE</w:t>
            </w:r>
          </w:p>
        </w:tc>
      </w:tr>
    </w:tbl>
    <w:p w:rsidR="005553AC" w:rsidRDefault="005553AC" w:rsidP="005553AC">
      <w:pPr>
        <w:pStyle w:val="NoSpacing"/>
        <w:jc w:val="both"/>
        <w:rPr>
          <w:rFonts w:ascii="Times New Roman" w:hAnsi="Times New Roman"/>
          <w:i/>
          <w:lang w:val="id-ID"/>
        </w:rPr>
      </w:pPr>
      <w:r w:rsidRPr="00072B00">
        <w:rPr>
          <w:rFonts w:ascii="Times New Roman" w:hAnsi="Times New Roman"/>
          <w:i/>
          <w:lang w:val="id-ID"/>
        </w:rPr>
        <w:t xml:space="preserve">         </w:t>
      </w:r>
      <w:r>
        <w:rPr>
          <w:rFonts w:ascii="Times New Roman" w:hAnsi="Times New Roman"/>
          <w:i/>
          <w:lang w:val="id-ID"/>
        </w:rPr>
        <w:t xml:space="preserve">  </w:t>
      </w:r>
      <w:r w:rsidRPr="00072B00">
        <w:rPr>
          <w:rFonts w:ascii="Times New Roman" w:hAnsi="Times New Roman"/>
          <w:i/>
          <w:lang w:val="id-ID"/>
        </w:rPr>
        <w:t xml:space="preserve">  </w:t>
      </w:r>
      <w:r w:rsidRPr="00072B00">
        <w:rPr>
          <w:rFonts w:ascii="Times New Roman" w:hAnsi="Times New Roman"/>
          <w:i/>
        </w:rPr>
        <w:t>Source: Sudarsono, H. (2003</w:t>
      </w:r>
      <w:r w:rsidRPr="00072B00">
        <w:rPr>
          <w:rFonts w:ascii="Times New Roman" w:hAnsi="Times New Roman"/>
          <w:i/>
          <w:lang w:val="id-ID"/>
        </w:rPr>
        <w:t>)</w:t>
      </w:r>
    </w:p>
    <w:p w:rsidR="005553AC" w:rsidRPr="00072B00" w:rsidRDefault="005553AC" w:rsidP="005553AC">
      <w:pPr>
        <w:pStyle w:val="NoSpacing"/>
        <w:jc w:val="both"/>
        <w:rPr>
          <w:rFonts w:ascii="Times New Roman" w:hAnsi="Times New Roman"/>
          <w:i/>
          <w:lang w:val="id-ID"/>
        </w:rPr>
      </w:pPr>
    </w:p>
    <w:p w:rsidR="005553AC" w:rsidRPr="005553AC" w:rsidRDefault="005553AC" w:rsidP="005553AC">
      <w:pPr>
        <w:pStyle w:val="NoSpacing"/>
        <w:jc w:val="center"/>
        <w:rPr>
          <w:rFonts w:ascii="Times New Roman" w:hAnsi="Times New Roman"/>
          <w:sz w:val="24"/>
          <w:szCs w:val="24"/>
          <w:lang w:val="id-ID"/>
        </w:rPr>
      </w:pPr>
      <w:r w:rsidRPr="005553AC">
        <w:rPr>
          <w:rFonts w:ascii="Times New Roman" w:hAnsi="Times New Roman"/>
          <w:sz w:val="24"/>
          <w:szCs w:val="24"/>
          <w:lang w:val="id-ID"/>
        </w:rPr>
        <w:t>Figure 1.  Jakarta Islamic Index (JII) Stock Selection</w:t>
      </w:r>
    </w:p>
    <w:p w:rsidR="005553AC" w:rsidRDefault="005553AC" w:rsidP="005553AC">
      <w:pPr>
        <w:pStyle w:val="NoSpacing"/>
        <w:jc w:val="both"/>
        <w:rPr>
          <w:rFonts w:ascii="Times New Roman" w:hAnsi="Times New Roman"/>
          <w:b/>
          <w:sz w:val="24"/>
          <w:szCs w:val="24"/>
          <w:lang w:val="id-ID"/>
        </w:rPr>
      </w:pPr>
    </w:p>
    <w:p w:rsidR="005553AC" w:rsidRDefault="005553AC" w:rsidP="005553AC">
      <w:pPr>
        <w:pStyle w:val="NoSpacing"/>
        <w:jc w:val="both"/>
        <w:rPr>
          <w:rFonts w:ascii="Times New Roman" w:hAnsi="Times New Roman"/>
          <w:b/>
          <w:sz w:val="24"/>
          <w:szCs w:val="24"/>
          <w:lang w:val="id-ID"/>
        </w:rPr>
      </w:pPr>
    </w:p>
    <w:p w:rsidR="005553AC" w:rsidRDefault="005553AC" w:rsidP="005553AC">
      <w:pPr>
        <w:pStyle w:val="NoSpacing"/>
        <w:jc w:val="both"/>
        <w:rPr>
          <w:rFonts w:ascii="Times New Roman" w:eastAsia="Times New Roman" w:hAnsi="Times New Roman"/>
          <w:b/>
          <w:sz w:val="24"/>
          <w:szCs w:val="24"/>
          <w:lang w:val="id-ID"/>
        </w:rPr>
      </w:pPr>
      <w:r w:rsidRPr="00072B00">
        <w:rPr>
          <w:rFonts w:ascii="Times New Roman" w:hAnsi="Times New Roman"/>
          <w:b/>
          <w:sz w:val="24"/>
          <w:szCs w:val="24"/>
        </w:rPr>
        <w:t>Return</w:t>
      </w:r>
      <w:r w:rsidRPr="00072B00">
        <w:rPr>
          <w:rFonts w:ascii="Times New Roman" w:hAnsi="Times New Roman"/>
          <w:b/>
          <w:i/>
          <w:sz w:val="24"/>
          <w:szCs w:val="24"/>
        </w:rPr>
        <w:t xml:space="preserve"> </w:t>
      </w:r>
      <w:r w:rsidRPr="00072B00">
        <w:rPr>
          <w:rFonts w:ascii="Times New Roman" w:hAnsi="Times New Roman"/>
          <w:b/>
          <w:sz w:val="24"/>
          <w:szCs w:val="24"/>
          <w:lang w:val="id-ID"/>
        </w:rPr>
        <w:t xml:space="preserve">and </w:t>
      </w:r>
      <w:r w:rsidRPr="00072B00">
        <w:rPr>
          <w:rFonts w:ascii="Times New Roman" w:eastAsia="Times New Roman" w:hAnsi="Times New Roman"/>
          <w:b/>
          <w:sz w:val="24"/>
          <w:szCs w:val="24"/>
          <w:lang w:val="id-ID"/>
        </w:rPr>
        <w:t>expected return</w:t>
      </w:r>
    </w:p>
    <w:p w:rsidR="005553AC" w:rsidRPr="00072B00" w:rsidRDefault="005553AC" w:rsidP="005553AC">
      <w:pPr>
        <w:pStyle w:val="NoSpacing"/>
        <w:jc w:val="both"/>
        <w:rPr>
          <w:rFonts w:ascii="Times New Roman" w:hAnsi="Times New Roman"/>
          <w:b/>
          <w:sz w:val="24"/>
          <w:szCs w:val="24"/>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 xml:space="preserve">The actual return (return) on investment, during a certain period, is the income received during the period together with any change in the value of investment (Henderson, et al., 1992).  </w:t>
      </w:r>
      <w:r w:rsidRPr="00072B00">
        <w:rPr>
          <w:rStyle w:val="tlid-translation"/>
          <w:rFonts w:ascii="Times New Roman" w:hAnsi="Times New Roman"/>
          <w:sz w:val="24"/>
          <w:szCs w:val="24"/>
        </w:rPr>
        <w:t>There are several types of returns commonly used in calculations, namely</w:t>
      </w:r>
      <w:r w:rsidRPr="00072B00">
        <w:rPr>
          <w:rStyle w:val="tlid-translation"/>
          <w:rFonts w:ascii="Times New Roman" w:hAnsi="Times New Roman"/>
          <w:sz w:val="24"/>
          <w:szCs w:val="24"/>
          <w:lang w:val="id-ID"/>
        </w:rPr>
        <w:t xml:space="preserve"> </w:t>
      </w:r>
      <w:r w:rsidRPr="00072B00">
        <w:rPr>
          <w:rFonts w:ascii="Times New Roman" w:hAnsi="Times New Roman"/>
          <w:sz w:val="24"/>
          <w:szCs w:val="24"/>
        </w:rPr>
        <w:t>simple net return</w:t>
      </w:r>
      <m:oMath>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oMath>
      <w:r w:rsidRPr="00072B00">
        <w:rPr>
          <w:rFonts w:ascii="Times New Roman" w:eastAsia="Times New Roman" w:hAnsi="Times New Roman"/>
          <w:sz w:val="24"/>
          <w:szCs w:val="24"/>
        </w:rPr>
        <w:t xml:space="preserve">) </w:t>
      </w:r>
      <w:r w:rsidRPr="00072B00">
        <w:rPr>
          <w:rFonts w:ascii="Times New Roman" w:hAnsi="Times New Roman"/>
          <w:sz w:val="24"/>
          <w:szCs w:val="24"/>
        </w:rPr>
        <w:t>and geometric</w:t>
      </w:r>
      <w:r w:rsidRPr="00072B00">
        <w:rPr>
          <w:rFonts w:ascii="Times New Roman" w:hAnsi="Times New Roman"/>
          <w:sz w:val="24"/>
          <w:szCs w:val="24"/>
          <w:lang w:val="id-ID"/>
        </w:rPr>
        <w:t xml:space="preserve"> </w:t>
      </w:r>
      <w:r w:rsidRPr="00072B00">
        <w:rPr>
          <w:rFonts w:ascii="Times New Roman" w:hAnsi="Times New Roman"/>
          <w:sz w:val="24"/>
          <w:szCs w:val="24"/>
        </w:rPr>
        <w:t>return</w:t>
      </w:r>
      <w:r w:rsidRPr="00072B00">
        <w:rPr>
          <w:rFonts w:ascii="Times New Roman" w:hAnsi="Times New Roman"/>
          <w:sz w:val="24"/>
          <w:szCs w:val="24"/>
          <w:lang w:val="id-ID"/>
        </w:rPr>
        <w:t xml:space="preserve"> </w:t>
      </w:r>
      <w:r w:rsidRPr="00072B00">
        <w:rPr>
          <w:rFonts w:ascii="Times New Roman" w:hAnsi="Times New Roman"/>
          <w:sz w:val="24"/>
          <w:szCs w:val="24"/>
        </w:rPr>
        <w:t>or log return</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oMath>
      <w:r w:rsidRPr="00072B00">
        <w:rPr>
          <w:rFonts w:ascii="Times New Roman" w:eastAsia="Times New Roman" w:hAnsi="Times New Roman"/>
          <w:sz w:val="24"/>
          <w:szCs w:val="24"/>
          <w:lang w:val="id-ID"/>
        </w:rPr>
        <w:t>).</w:t>
      </w:r>
    </w:p>
    <w:p w:rsidR="005553AC" w:rsidRPr="00072B00" w:rsidRDefault="005553AC" w:rsidP="005553AC">
      <w:pPr>
        <w:pStyle w:val="NoSpacing"/>
        <w:jc w:val="both"/>
        <w:rPr>
          <w:rFonts w:ascii="Times New Roman" w:hAnsi="Times New Roman"/>
          <w:b/>
          <w:sz w:val="24"/>
          <w:szCs w:val="24"/>
          <w:lang w:val="id-ID"/>
        </w:rPr>
      </w:pPr>
    </w:p>
    <w:tbl>
      <w:tblPr>
        <w:tblW w:w="0" w:type="auto"/>
        <w:tblInd w:w="817" w:type="dxa"/>
        <w:tblLook w:val="04A0"/>
      </w:tblPr>
      <w:tblGrid>
        <w:gridCol w:w="4643"/>
        <w:gridCol w:w="2297"/>
      </w:tblGrid>
      <w:tr w:rsidR="005553AC" w:rsidRPr="00B310E9" w:rsidTr="00386E5B">
        <w:trPr>
          <w:trHeight w:val="647"/>
        </w:trPr>
        <w:tc>
          <w:tcPr>
            <w:tcW w:w="5621" w:type="dxa"/>
            <w:vAlign w:val="center"/>
          </w:tcPr>
          <w:p w:rsidR="005553AC" w:rsidRPr="00B310E9" w:rsidRDefault="005553AC" w:rsidP="00386E5B">
            <w:pPr>
              <w:pStyle w:val="NoSpacing"/>
              <w:ind w:firstLine="720"/>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1204595" cy="4413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4595" cy="441325"/>
                          </a:xfrm>
                          <a:prstGeom prst="rect">
                            <a:avLst/>
                          </a:prstGeom>
                          <a:noFill/>
                          <a:ln w="9525">
                            <a:noFill/>
                            <a:miter lim="800000"/>
                            <a:headEnd/>
                            <a:tailEnd/>
                          </a:ln>
                        </pic:spPr>
                      </pic:pic>
                    </a:graphicData>
                  </a:graphic>
                </wp:inline>
              </w:drawing>
            </w:r>
          </w:p>
        </w:tc>
        <w:tc>
          <w:tcPr>
            <w:tcW w:w="3026"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1</w:t>
            </w:r>
            <w:r w:rsidRPr="00B310E9">
              <w:rPr>
                <w:rFonts w:ascii="Times New Roman" w:hAnsi="Times New Roman"/>
                <w:sz w:val="24"/>
                <w:szCs w:val="24"/>
              </w:rPr>
              <w:t>)</w:t>
            </w:r>
          </w:p>
        </w:tc>
      </w:tr>
      <w:tr w:rsidR="005553AC" w:rsidRPr="00B310E9" w:rsidTr="00386E5B">
        <w:trPr>
          <w:trHeight w:val="820"/>
        </w:trPr>
        <w:tc>
          <w:tcPr>
            <w:tcW w:w="5621" w:type="dxa"/>
            <w:vAlign w:val="center"/>
          </w:tcPr>
          <w:p w:rsidR="005553AC" w:rsidRPr="00B310E9" w:rsidRDefault="005553AC" w:rsidP="00386E5B">
            <w:pPr>
              <w:pStyle w:val="NoSpacing"/>
              <w:ind w:firstLine="720"/>
              <w:jc w:val="center"/>
              <w:rPr>
                <w:rFonts w:ascii="Times New Roman" w:hAnsi="Times New Roman"/>
                <w:i/>
                <w:sz w:val="24"/>
                <w:szCs w:val="24"/>
                <w:lang w:val="id-ID"/>
              </w:rPr>
            </w:pPr>
            <w:r>
              <w:rPr>
                <w:rFonts w:ascii="Times New Roman" w:hAnsi="Times New Roman"/>
                <w:i/>
                <w:noProof/>
                <w:sz w:val="24"/>
                <w:szCs w:val="24"/>
                <w:lang w:val="id-ID" w:eastAsia="id-ID"/>
              </w:rPr>
              <w:drawing>
                <wp:inline distT="0" distB="0" distL="0" distR="0">
                  <wp:extent cx="1258570" cy="45212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58570" cy="452120"/>
                          </a:xfrm>
                          <a:prstGeom prst="rect">
                            <a:avLst/>
                          </a:prstGeom>
                          <a:noFill/>
                          <a:ln w="9525">
                            <a:noFill/>
                            <a:miter lim="800000"/>
                            <a:headEnd/>
                            <a:tailEnd/>
                          </a:ln>
                        </pic:spPr>
                      </pic:pic>
                    </a:graphicData>
                  </a:graphic>
                </wp:inline>
              </w:drawing>
            </w:r>
          </w:p>
        </w:tc>
        <w:tc>
          <w:tcPr>
            <w:tcW w:w="3026"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2</w:t>
            </w:r>
            <w:r w:rsidRPr="00B310E9">
              <w:rPr>
                <w:rFonts w:ascii="Times New Roman" w:hAnsi="Times New Roman"/>
                <w:sz w:val="24"/>
                <w:szCs w:val="24"/>
              </w:rPr>
              <w:t>)</w:t>
            </w:r>
          </w:p>
        </w:tc>
      </w:tr>
    </w:tbl>
    <w:p w:rsidR="005553AC" w:rsidRDefault="005553AC" w:rsidP="005553AC">
      <w:pPr>
        <w:pStyle w:val="NoSpacing"/>
        <w:jc w:val="both"/>
        <w:rPr>
          <w:rFonts w:ascii="Times New Roman" w:hAnsi="Times New Roman"/>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 xml:space="preserve">where,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oMath>
      <w:r w:rsidRPr="00072B00">
        <w:rPr>
          <w:rFonts w:ascii="Times New Roman" w:hAnsi="Times New Roman"/>
          <w:sz w:val="24"/>
          <w:szCs w:val="24"/>
        </w:rPr>
        <w:t xml:space="preserve"> is</w:t>
      </w:r>
      <w:r w:rsidRPr="00072B00">
        <w:rPr>
          <w:rFonts w:ascii="Times New Roman" w:hAnsi="Times New Roman"/>
          <w:sz w:val="24"/>
          <w:szCs w:val="24"/>
          <w:lang w:val="id-ID"/>
        </w:rPr>
        <w:t xml:space="preserve"> </w:t>
      </w:r>
      <w:r w:rsidRPr="00072B00">
        <w:rPr>
          <w:rFonts w:ascii="Times New Roman" w:hAnsi="Times New Roman"/>
          <w:sz w:val="24"/>
          <w:szCs w:val="24"/>
        </w:rPr>
        <w:t xml:space="preserve">the simple net return </w:t>
      </w:r>
      <w:r w:rsidRPr="00072B00">
        <w:rPr>
          <w:rFonts w:ascii="Times New Roman" w:hAnsi="Times New Roman"/>
          <w:sz w:val="24"/>
          <w:szCs w:val="24"/>
          <w:lang w:val="id-ID"/>
        </w:rPr>
        <w:t>for</w:t>
      </w:r>
      <w:r w:rsidRPr="00072B00">
        <w:rPr>
          <w:rFonts w:ascii="Times New Roman" w:hAnsi="Times New Roman"/>
          <w:sz w:val="24"/>
          <w:szCs w:val="24"/>
        </w:rPr>
        <w:t xml:space="preserve"> period</w:t>
      </w:r>
      <w:r w:rsidRPr="00072B00">
        <w:rPr>
          <w:rFonts w:ascii="Times New Roman" w:hAnsi="Times New Roman"/>
          <w:i/>
          <w:sz w:val="24"/>
          <w:szCs w:val="24"/>
        </w:rPr>
        <w:t xml:space="preserve"> t</w:t>
      </w:r>
      <w:r w:rsidRPr="00072B00">
        <w:rPr>
          <w:rFonts w:ascii="Times New Roman" w:hAnsi="Times New Roman"/>
          <w:sz w:val="24"/>
          <w:szCs w:val="24"/>
          <w:lang w:val="id-ID"/>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oMath>
      <w:r w:rsidRPr="00072B00">
        <w:rPr>
          <w:rFonts w:ascii="Times New Roman" w:hAnsi="Times New Roman"/>
          <w:sz w:val="24"/>
          <w:szCs w:val="24"/>
          <w:lang w:val="id-ID"/>
        </w:rPr>
        <w:t xml:space="preserve"> </w:t>
      </w:r>
      <w:r w:rsidRPr="00072B00">
        <w:rPr>
          <w:rFonts w:ascii="Times New Roman" w:hAnsi="Times New Roman"/>
          <w:sz w:val="24"/>
          <w:szCs w:val="24"/>
        </w:rPr>
        <w:t>is</w:t>
      </w:r>
      <w:r w:rsidRPr="00072B00">
        <w:rPr>
          <w:rFonts w:ascii="Times New Roman" w:hAnsi="Times New Roman"/>
          <w:sz w:val="24"/>
          <w:szCs w:val="24"/>
          <w:lang w:val="id-ID"/>
        </w:rPr>
        <w:t xml:space="preserve"> </w:t>
      </w:r>
      <w:r w:rsidRPr="00072B00">
        <w:rPr>
          <w:rFonts w:ascii="Times New Roman" w:hAnsi="Times New Roman"/>
          <w:sz w:val="24"/>
          <w:szCs w:val="24"/>
        </w:rPr>
        <w:t xml:space="preserve">the geometric return </w:t>
      </w:r>
      <w:r w:rsidRPr="00072B00">
        <w:rPr>
          <w:rFonts w:ascii="Times New Roman" w:hAnsi="Times New Roman"/>
          <w:sz w:val="24"/>
          <w:szCs w:val="24"/>
          <w:lang w:val="id-ID"/>
        </w:rPr>
        <w:t>for</w:t>
      </w:r>
      <w:r w:rsidRPr="00072B00">
        <w:rPr>
          <w:rFonts w:ascii="Times New Roman" w:hAnsi="Times New Roman"/>
          <w:sz w:val="24"/>
          <w:szCs w:val="24"/>
        </w:rPr>
        <w:t xml:space="preserve"> period</w:t>
      </w:r>
      <w:r w:rsidRPr="00072B00">
        <w:rPr>
          <w:rFonts w:ascii="Times New Roman" w:hAnsi="Times New Roman"/>
          <w:i/>
          <w:sz w:val="24"/>
          <w:szCs w:val="24"/>
        </w:rPr>
        <w:t xml:space="preserve"> t</w:t>
      </w:r>
      <w:r w:rsidRPr="00072B00">
        <w:rPr>
          <w:rFonts w:ascii="Times New Roman" w:hAnsi="Times New Roman"/>
          <w:sz w:val="24"/>
          <w:szCs w:val="24"/>
          <w:lang w:val="id-ID"/>
        </w:rPr>
        <w:t xml:space="preserve">,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oMath>
      <w:r w:rsidRPr="00072B00">
        <w:rPr>
          <w:rFonts w:ascii="Times New Roman" w:hAnsi="Times New Roman"/>
          <w:sz w:val="24"/>
          <w:szCs w:val="24"/>
          <w:lang w:val="id-ID"/>
        </w:rPr>
        <w:t xml:space="preserve"> </w:t>
      </w:r>
      <w:r w:rsidRPr="00072B00">
        <w:rPr>
          <w:rFonts w:ascii="Times New Roman" w:hAnsi="Times New Roman"/>
          <w:sz w:val="24"/>
          <w:szCs w:val="24"/>
        </w:rPr>
        <w:t xml:space="preserve">is </w:t>
      </w:r>
      <w:r w:rsidRPr="00072B00">
        <w:rPr>
          <w:rFonts w:ascii="Times New Roman" w:hAnsi="Times New Roman"/>
          <w:sz w:val="24"/>
          <w:szCs w:val="24"/>
          <w:lang w:val="id-ID"/>
        </w:rPr>
        <w:t>the market price</w:t>
      </w:r>
      <w:r w:rsidRPr="00072B00">
        <w:rPr>
          <w:rFonts w:ascii="Times New Roman" w:hAnsi="Times New Roman"/>
          <w:sz w:val="24"/>
          <w:szCs w:val="24"/>
        </w:rPr>
        <w:t xml:space="preserve"> at</w:t>
      </w:r>
      <w:r w:rsidRPr="00072B00">
        <w:rPr>
          <w:rFonts w:ascii="Times New Roman" w:hAnsi="Times New Roman"/>
          <w:sz w:val="24"/>
          <w:szCs w:val="24"/>
          <w:lang w:val="id-ID"/>
        </w:rPr>
        <w:t xml:space="preserve"> the end </w:t>
      </w:r>
      <w:r w:rsidRPr="00072B00">
        <w:rPr>
          <w:rFonts w:ascii="Times New Roman" w:hAnsi="Times New Roman"/>
          <w:sz w:val="24"/>
          <w:szCs w:val="24"/>
        </w:rPr>
        <w:t>period</w:t>
      </w:r>
      <w:r w:rsidRPr="00072B00">
        <w:rPr>
          <w:rFonts w:ascii="Times New Roman" w:hAnsi="Times New Roman"/>
          <w:i/>
          <w:sz w:val="24"/>
          <w:szCs w:val="24"/>
        </w:rPr>
        <w:t xml:space="preserve"> t</w:t>
      </w:r>
      <w:r w:rsidRPr="00072B00">
        <w:rPr>
          <w:rFonts w:ascii="Times New Roman" w:hAnsi="Times New Roman"/>
          <w:sz w:val="24"/>
          <w:szCs w:val="24"/>
          <w:lang w:val="id-ID"/>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oMath>
      <w:r w:rsidRPr="00072B00">
        <w:rPr>
          <w:rFonts w:ascii="Times New Roman" w:eastAsia="Times New Roman" w:hAnsi="Times New Roman"/>
          <w:sz w:val="24"/>
          <w:szCs w:val="24"/>
          <w:lang w:val="id-ID"/>
        </w:rPr>
        <w:t xml:space="preserve"> </w:t>
      </w:r>
      <w:r w:rsidRPr="00072B00">
        <w:rPr>
          <w:rFonts w:ascii="Times New Roman" w:hAnsi="Times New Roman"/>
          <w:sz w:val="24"/>
          <w:szCs w:val="24"/>
        </w:rPr>
        <w:t xml:space="preserve">is </w:t>
      </w:r>
      <w:r w:rsidRPr="00072B00">
        <w:rPr>
          <w:rFonts w:ascii="Times New Roman" w:hAnsi="Times New Roman"/>
          <w:sz w:val="24"/>
          <w:szCs w:val="24"/>
          <w:lang w:val="id-ID"/>
        </w:rPr>
        <w:t>the market price</w:t>
      </w:r>
      <w:r w:rsidRPr="00072B00">
        <w:rPr>
          <w:rFonts w:ascii="Times New Roman" w:hAnsi="Times New Roman"/>
          <w:sz w:val="24"/>
          <w:szCs w:val="24"/>
        </w:rPr>
        <w:t xml:space="preserve"> at</w:t>
      </w:r>
      <w:r w:rsidRPr="00072B00">
        <w:rPr>
          <w:rFonts w:ascii="Times New Roman" w:hAnsi="Times New Roman"/>
          <w:sz w:val="24"/>
          <w:szCs w:val="24"/>
          <w:lang w:val="id-ID"/>
        </w:rPr>
        <w:t xml:space="preserve"> the end </w:t>
      </w:r>
      <w:r w:rsidRPr="00072B00">
        <w:rPr>
          <w:rFonts w:ascii="Times New Roman" w:hAnsi="Times New Roman"/>
          <w:sz w:val="24"/>
          <w:szCs w:val="24"/>
        </w:rPr>
        <w:t>period</w:t>
      </w:r>
      <w:r w:rsidRPr="00072B00">
        <w:rPr>
          <w:rFonts w:ascii="Times New Roman" w:hAnsi="Times New Roman"/>
          <w:i/>
          <w:sz w:val="24"/>
          <w:szCs w:val="24"/>
        </w:rPr>
        <w:t xml:space="preserve"> t</w:t>
      </w:r>
      <w:r>
        <w:rPr>
          <w:rFonts w:ascii="Times New Roman" w:hAnsi="Times New Roman"/>
          <w:i/>
          <w:sz w:val="24"/>
          <w:szCs w:val="24"/>
          <w:lang w:val="id-ID"/>
        </w:rPr>
        <w:t>-1</w:t>
      </w:r>
      <w:r w:rsidRPr="00072B00">
        <w:rPr>
          <w:rFonts w:ascii="Times New Roman" w:hAnsi="Times New Roman"/>
          <w:sz w:val="24"/>
          <w:szCs w:val="24"/>
          <w:lang w:val="id-ID"/>
        </w:rPr>
        <w:t xml:space="preserve">, and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t</m:t>
            </m:r>
          </m:sub>
        </m:sSub>
      </m:oMath>
      <w:r w:rsidRPr="00072B00">
        <w:rPr>
          <w:rFonts w:ascii="Times New Roman" w:eastAsia="Times New Roman" w:hAnsi="Times New Roman"/>
          <w:sz w:val="24"/>
          <w:szCs w:val="24"/>
          <w:lang w:val="id-ID"/>
        </w:rPr>
        <w:t xml:space="preserve"> </w:t>
      </w:r>
      <w:r w:rsidRPr="00072B00">
        <w:rPr>
          <w:rFonts w:ascii="Times New Roman" w:hAnsi="Times New Roman"/>
          <w:sz w:val="24"/>
          <w:szCs w:val="24"/>
        </w:rPr>
        <w:t xml:space="preserve"> is the d</w:t>
      </w:r>
      <w:r w:rsidRPr="00072B00">
        <w:rPr>
          <w:rFonts w:ascii="Times New Roman" w:hAnsi="Times New Roman"/>
          <w:sz w:val="24"/>
          <w:szCs w:val="24"/>
          <w:lang w:val="id-ID"/>
        </w:rPr>
        <w:t>i</w:t>
      </w:r>
      <w:r>
        <w:rPr>
          <w:rFonts w:ascii="Times New Roman" w:hAnsi="Times New Roman"/>
          <w:sz w:val="24"/>
          <w:szCs w:val="24"/>
        </w:rPr>
        <w:t>viden</w:t>
      </w:r>
      <w:r>
        <w:rPr>
          <w:rFonts w:ascii="Times New Roman" w:hAnsi="Times New Roman"/>
          <w:sz w:val="24"/>
          <w:szCs w:val="24"/>
          <w:lang w:val="id-ID"/>
        </w:rPr>
        <w:t>d</w:t>
      </w:r>
      <w:r w:rsidRPr="00072B00">
        <w:rPr>
          <w:rFonts w:ascii="Times New Roman" w:hAnsi="Times New Roman"/>
          <w:sz w:val="24"/>
          <w:szCs w:val="24"/>
          <w:lang w:val="id-ID"/>
        </w:rPr>
        <w:t xml:space="preserve">s (or interest) received during </w:t>
      </w:r>
      <w:r w:rsidRPr="00072B00">
        <w:rPr>
          <w:rFonts w:ascii="Times New Roman" w:hAnsi="Times New Roman"/>
          <w:sz w:val="24"/>
          <w:szCs w:val="24"/>
        </w:rPr>
        <w:t>period</w:t>
      </w:r>
      <w:r w:rsidRPr="00072B00">
        <w:rPr>
          <w:rFonts w:ascii="Times New Roman" w:hAnsi="Times New Roman"/>
          <w:i/>
          <w:sz w:val="24"/>
          <w:szCs w:val="24"/>
        </w:rPr>
        <w:t xml:space="preserve"> t</w:t>
      </w:r>
      <w:r w:rsidRPr="00072B00">
        <w:rPr>
          <w:rFonts w:ascii="Times New Roman" w:hAnsi="Times New Roman"/>
          <w:sz w:val="24"/>
          <w:szCs w:val="24"/>
          <w:lang w:val="id-ID"/>
        </w:rPr>
        <w:t xml:space="preserve">. </w:t>
      </w:r>
      <w:r w:rsidRPr="00072B00">
        <w:rPr>
          <w:rFonts w:ascii="Times New Roman" w:hAnsi="Times New Roman"/>
          <w:sz w:val="24"/>
          <w:szCs w:val="24"/>
        </w:rPr>
        <w:t>From equation</w:t>
      </w:r>
      <w:r>
        <w:rPr>
          <w:rFonts w:ascii="Times New Roman" w:hAnsi="Times New Roman"/>
          <w:sz w:val="24"/>
          <w:szCs w:val="24"/>
        </w:rPr>
        <w:t>s</w:t>
      </w:r>
      <w:r w:rsidRPr="00072B00">
        <w:rPr>
          <w:rFonts w:ascii="Times New Roman" w:hAnsi="Times New Roman"/>
          <w:sz w:val="24"/>
          <w:szCs w:val="24"/>
        </w:rPr>
        <w:t xml:space="preserve"> (</w:t>
      </w:r>
      <w:r w:rsidRPr="00072B00">
        <w:rPr>
          <w:rFonts w:ascii="Times New Roman" w:hAnsi="Times New Roman"/>
          <w:sz w:val="24"/>
          <w:szCs w:val="24"/>
          <w:lang w:val="id-ID"/>
        </w:rPr>
        <w:t>1</w:t>
      </w:r>
      <w:r w:rsidRPr="00072B00">
        <w:rPr>
          <w:rFonts w:ascii="Times New Roman" w:hAnsi="Times New Roman"/>
          <w:sz w:val="24"/>
          <w:szCs w:val="24"/>
        </w:rPr>
        <w:t>) and (</w:t>
      </w:r>
      <w:r w:rsidRPr="00072B00">
        <w:rPr>
          <w:rFonts w:ascii="Times New Roman" w:hAnsi="Times New Roman"/>
          <w:sz w:val="24"/>
          <w:szCs w:val="24"/>
          <w:lang w:val="id-ID"/>
        </w:rPr>
        <w:t>2</w:t>
      </w:r>
      <w:r w:rsidRPr="00072B00">
        <w:rPr>
          <w:rFonts w:ascii="Times New Roman" w:hAnsi="Times New Roman"/>
          <w:sz w:val="24"/>
          <w:szCs w:val="24"/>
        </w:rPr>
        <w:t>) can be obtained relation</w:t>
      </w:r>
      <w:r w:rsidRPr="00072B00">
        <w:rPr>
          <w:rFonts w:ascii="Times New Roman" w:hAnsi="Times New Roman"/>
          <w:sz w:val="24"/>
          <w:szCs w:val="24"/>
          <w:lang w:val="id-ID"/>
        </w:rPr>
        <w:t xml:space="preserve"> </w:t>
      </w:r>
      <w:r w:rsidRPr="00072B00">
        <w:rPr>
          <w:rFonts w:ascii="Times New Roman" w:hAnsi="Times New Roman"/>
          <w:sz w:val="24"/>
          <w:szCs w:val="24"/>
        </w:rPr>
        <w:t>log return</w:t>
      </w:r>
      <w:r w:rsidRPr="00072B00">
        <w:rPr>
          <w:rFonts w:ascii="Times New Roman" w:hAnsi="Times New Roman"/>
          <w:sz w:val="24"/>
          <w:szCs w:val="24"/>
          <w:lang w:val="id-ID"/>
        </w:rPr>
        <w:t xml:space="preserve"> </w:t>
      </w:r>
      <w:r w:rsidRPr="00072B00">
        <w:rPr>
          <w:rFonts w:ascii="Times New Roman" w:hAnsi="Times New Roman"/>
          <w:sz w:val="24"/>
          <w:szCs w:val="24"/>
        </w:rPr>
        <w:t>and</w:t>
      </w:r>
      <w:r w:rsidRPr="00072B00">
        <w:rPr>
          <w:rFonts w:ascii="Times New Roman" w:hAnsi="Times New Roman"/>
          <w:sz w:val="24"/>
          <w:szCs w:val="24"/>
          <w:lang w:val="id-ID"/>
        </w:rPr>
        <w:t xml:space="preserve"> </w:t>
      </w:r>
      <w:r w:rsidRPr="00072B00">
        <w:rPr>
          <w:rFonts w:ascii="Times New Roman" w:hAnsi="Times New Roman"/>
          <w:sz w:val="24"/>
          <w:szCs w:val="24"/>
        </w:rPr>
        <w:t>simple net return, i.e.</w:t>
      </w:r>
      <w:r>
        <w:rPr>
          <w:rFonts w:ascii="Times New Roman" w:hAnsi="Times New Roman"/>
          <w:sz w:val="24"/>
          <w:szCs w:val="24"/>
          <w:lang w:val="id-ID"/>
        </w:rPr>
        <w:t xml:space="preserve"> </w:t>
      </w:r>
      <w:r w:rsidRPr="00072B00">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Times New Roman"/>
            <w:sz w:val="24"/>
            <w:szCs w:val="24"/>
          </w:rPr>
          <m:t>=</m:t>
        </m:r>
        <m:r>
          <w:rPr>
            <w:rFonts w:ascii="Cambria Math" w:hAnsi="Cambria Math"/>
            <w:sz w:val="24"/>
            <w:szCs w:val="24"/>
          </w:rPr>
          <m:t>ln</m:t>
        </m:r>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Times New Roman"/>
                <w:sz w:val="24"/>
                <w:szCs w:val="24"/>
              </w:rPr>
              <m:t>+1</m:t>
            </m:r>
          </m:e>
        </m:d>
      </m:oMath>
      <w:r w:rsidRPr="00072B00">
        <w:rPr>
          <w:rFonts w:ascii="Times New Roman" w:eastAsia="Times New Roman" w:hAnsi="Times New Roman"/>
          <w:sz w:val="24"/>
          <w:szCs w:val="24"/>
        </w:rPr>
        <w:t>.</w:t>
      </w:r>
      <w:r w:rsidRPr="00072B00">
        <w:rPr>
          <w:rFonts w:ascii="Times New Roman" w:eastAsia="Times New Roman" w:hAnsi="Times New Roman"/>
          <w:sz w:val="24"/>
          <w:szCs w:val="24"/>
          <w:lang w:val="id-ID"/>
        </w:rPr>
        <w:t xml:space="preserve"> </w:t>
      </w:r>
    </w:p>
    <w:p w:rsidR="005553AC" w:rsidRDefault="005553AC" w:rsidP="005553AC">
      <w:pPr>
        <w:pStyle w:val="NoSpacing"/>
        <w:jc w:val="both"/>
        <w:rPr>
          <w:rFonts w:ascii="Times New Roman" w:hAnsi="Times New Roman"/>
          <w:sz w:val="24"/>
          <w:szCs w:val="24"/>
          <w:lang w:val="id-ID"/>
        </w:rPr>
      </w:pPr>
      <w:r w:rsidRPr="00072B00">
        <w:rPr>
          <w:rFonts w:ascii="Times New Roman" w:eastAsia="Times New Roman" w:hAnsi="Times New Roman"/>
          <w:sz w:val="24"/>
          <w:szCs w:val="24"/>
          <w:lang w:val="id-ID"/>
        </w:rPr>
        <w:t>The expected return on investment is merely the weighted average of probabl</w:t>
      </w:r>
      <w:r>
        <w:rPr>
          <w:rFonts w:ascii="Times New Roman" w:eastAsia="Times New Roman" w:hAnsi="Times New Roman"/>
          <w:sz w:val="24"/>
          <w:szCs w:val="24"/>
          <w:lang w:val="id-ID"/>
        </w:rPr>
        <w:t>y</w:t>
      </w:r>
      <w:r w:rsidRPr="00072B00">
        <w:rPr>
          <w:rFonts w:ascii="Times New Roman" w:eastAsia="Times New Roman" w:hAnsi="Times New Roman"/>
          <w:sz w:val="24"/>
          <w:szCs w:val="24"/>
          <w:lang w:val="id-ID"/>
        </w:rPr>
        <w:t xml:space="preserve"> expected return (Sharpe, 1985). </w:t>
      </w:r>
      <w:r w:rsidRPr="00072B00">
        <w:rPr>
          <w:rFonts w:ascii="Times New Roman" w:hAnsi="Times New Roman"/>
          <w:sz w:val="24"/>
          <w:szCs w:val="24"/>
        </w:rPr>
        <w:t>If there is</w:t>
      </w:r>
      <w:r w:rsidRPr="00072B00">
        <w:rPr>
          <w:rFonts w:ascii="Times New Roman" w:hAnsi="Times New Roman"/>
          <w:sz w:val="24"/>
          <w:szCs w:val="24"/>
          <w:lang w:val="id-ID"/>
        </w:rPr>
        <w:t xml:space="preserve"> </w:t>
      </w:r>
      <w:r w:rsidRPr="00072B00">
        <w:rPr>
          <w:rFonts w:ascii="Times New Roman" w:hAnsi="Times New Roman"/>
          <w:i/>
          <w:sz w:val="24"/>
          <w:szCs w:val="24"/>
        </w:rPr>
        <w:t>T</w:t>
      </w:r>
      <w:r w:rsidRPr="00072B00">
        <w:rPr>
          <w:rFonts w:ascii="Times New Roman" w:hAnsi="Times New Roman"/>
          <w:sz w:val="24"/>
          <w:szCs w:val="24"/>
        </w:rPr>
        <w:t xml:space="preserve"> observation, then</w:t>
      </w:r>
      <w:r w:rsidRPr="00072B00">
        <w:rPr>
          <w:rFonts w:ascii="Times New Roman" w:hAnsi="Times New Roman"/>
          <w:sz w:val="24"/>
          <w:szCs w:val="24"/>
          <w:lang w:val="id-ID"/>
        </w:rPr>
        <w:t xml:space="preserve"> </w:t>
      </w:r>
      <w:r w:rsidRPr="00072B00">
        <w:rPr>
          <w:rFonts w:ascii="Times New Roman" w:hAnsi="Times New Roman"/>
          <w:sz w:val="24"/>
          <w:szCs w:val="24"/>
        </w:rPr>
        <w:t>expected</w:t>
      </w:r>
      <w:r w:rsidRPr="00072B00">
        <w:rPr>
          <w:rFonts w:ascii="Times New Roman" w:hAnsi="Times New Roman"/>
          <w:sz w:val="24"/>
          <w:szCs w:val="24"/>
          <w:lang w:val="id-ID"/>
        </w:rPr>
        <w:t xml:space="preserve"> </w:t>
      </w:r>
      <w:r w:rsidRPr="00072B00">
        <w:rPr>
          <w:rFonts w:ascii="Times New Roman" w:hAnsi="Times New Roman"/>
          <w:sz w:val="24"/>
          <w:szCs w:val="24"/>
        </w:rPr>
        <w:t>return</w:t>
      </w:r>
      <w:r w:rsidRPr="00072B00">
        <w:rPr>
          <w:rFonts w:ascii="Times New Roman" w:hAnsi="Times New Roman"/>
          <w:sz w:val="24"/>
          <w:szCs w:val="24"/>
          <w:lang w:val="id-ID"/>
        </w:rPr>
        <w:t xml:space="preserve"> </w:t>
      </w:r>
      <m:oMath>
        <m:r>
          <w:rPr>
            <w:rFonts w:ascii="Cambria Math" w:hAnsi="Cambria Math"/>
            <w:sz w:val="24"/>
            <w:szCs w:val="24"/>
            <w:lang w:val="id-ID"/>
          </w:rPr>
          <m:t>(</m:t>
        </m:r>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e>
        </m:d>
        <m:r>
          <w:rPr>
            <w:rFonts w:ascii="Cambria Math" w:hAnsi="Cambria Math"/>
            <w:sz w:val="24"/>
            <w:szCs w:val="24"/>
          </w:rPr>
          <m:t>)</m:t>
        </m:r>
      </m:oMath>
      <w:r w:rsidRPr="00072B00">
        <w:rPr>
          <w:rFonts w:ascii="Times New Roman" w:hAnsi="Times New Roman"/>
          <w:sz w:val="24"/>
          <w:szCs w:val="24"/>
          <w:lang w:val="id-ID"/>
        </w:rPr>
        <w:t xml:space="preserve"> can be expressed as:</w:t>
      </w:r>
    </w:p>
    <w:p w:rsidR="005553AC" w:rsidRPr="00072B00" w:rsidRDefault="005553AC" w:rsidP="005553AC">
      <w:pPr>
        <w:pStyle w:val="NoSpacing"/>
        <w:jc w:val="both"/>
        <w:rPr>
          <w:rFonts w:ascii="Times New Roman" w:eastAsia="Times New Roman" w:hAnsi="Times New Roman"/>
          <w:sz w:val="24"/>
          <w:szCs w:val="24"/>
          <w:lang w:val="id-ID"/>
        </w:rPr>
      </w:pPr>
    </w:p>
    <w:tbl>
      <w:tblPr>
        <w:tblW w:w="0" w:type="auto"/>
        <w:tblInd w:w="817" w:type="dxa"/>
        <w:tblLook w:val="04A0"/>
      </w:tblPr>
      <w:tblGrid>
        <w:gridCol w:w="4712"/>
        <w:gridCol w:w="2228"/>
      </w:tblGrid>
      <w:tr w:rsidR="005553AC" w:rsidRPr="00B310E9" w:rsidTr="00386E5B">
        <w:trPr>
          <w:trHeight w:val="647"/>
        </w:trPr>
        <w:tc>
          <w:tcPr>
            <w:tcW w:w="5681" w:type="dxa"/>
          </w:tcPr>
          <w:p w:rsidR="005553AC" w:rsidRPr="00B310E9" w:rsidRDefault="005553AC" w:rsidP="00386E5B">
            <w:pPr>
              <w:pStyle w:val="NoSpacing"/>
              <w:ind w:firstLine="720"/>
              <w:jc w:val="center"/>
              <w:rPr>
                <w:rFonts w:ascii="Times New Roman" w:hAnsi="Times New Roman"/>
                <w:sz w:val="24"/>
                <w:szCs w:val="24"/>
                <w:lang w:val="id-ID"/>
              </w:rPr>
            </w:pPr>
            <w:r>
              <w:rPr>
                <w:rFonts w:ascii="Times New Roman" w:hAnsi="Times New Roman"/>
                <w:noProof/>
                <w:sz w:val="24"/>
                <w:szCs w:val="24"/>
                <w:lang w:val="id-ID" w:eastAsia="id-ID"/>
              </w:rPr>
              <w:drawing>
                <wp:inline distT="0" distB="0" distL="0" distR="0">
                  <wp:extent cx="1387475" cy="430530"/>
                  <wp:effectExtent l="19050" t="0" r="3175"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387475" cy="430530"/>
                          </a:xfrm>
                          <a:prstGeom prst="rect">
                            <a:avLst/>
                          </a:prstGeom>
                          <a:noFill/>
                          <a:ln w="9525">
                            <a:noFill/>
                            <a:miter lim="800000"/>
                            <a:headEnd/>
                            <a:tailEnd/>
                          </a:ln>
                        </pic:spPr>
                      </pic:pic>
                    </a:graphicData>
                  </a:graphic>
                </wp:inline>
              </w:drawing>
            </w:r>
          </w:p>
        </w:tc>
        <w:tc>
          <w:tcPr>
            <w:tcW w:w="2966"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3</w:t>
            </w:r>
            <w:r w:rsidRPr="00B310E9">
              <w:rPr>
                <w:rFonts w:ascii="Times New Roman" w:hAnsi="Times New Roman"/>
                <w:sz w:val="24"/>
                <w:szCs w:val="24"/>
              </w:rPr>
              <w:t>)</w:t>
            </w:r>
          </w:p>
        </w:tc>
      </w:tr>
    </w:tbl>
    <w:p w:rsidR="005553AC" w:rsidRPr="00072B00" w:rsidRDefault="005553AC" w:rsidP="005553AC">
      <w:pPr>
        <w:pStyle w:val="NoSpacing"/>
        <w:jc w:val="both"/>
        <w:rPr>
          <w:rFonts w:ascii="Times New Roman" w:hAnsi="Times New Roman"/>
          <w:b/>
          <w:sz w:val="24"/>
          <w:szCs w:val="24"/>
          <w:lang w:val="id-ID"/>
        </w:rPr>
      </w:pP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Risk and</w:t>
      </w:r>
      <w:r w:rsidRPr="00072B00">
        <w:rPr>
          <w:rFonts w:ascii="Times New Roman" w:hAnsi="Times New Roman"/>
          <w:b/>
          <w:sz w:val="24"/>
          <w:szCs w:val="24"/>
        </w:rPr>
        <w:t xml:space="preserve"> </w:t>
      </w:r>
      <w:r w:rsidRPr="00072B00">
        <w:rPr>
          <w:rFonts w:ascii="Times New Roman" w:hAnsi="Times New Roman"/>
          <w:b/>
          <w:i/>
          <w:sz w:val="24"/>
          <w:szCs w:val="24"/>
        </w:rPr>
        <w:t>Value at Risk</w:t>
      </w:r>
      <w:r w:rsidRPr="00072B00">
        <w:rPr>
          <w:rFonts w:ascii="Times New Roman" w:hAnsi="Times New Roman"/>
          <w:b/>
          <w:sz w:val="24"/>
          <w:szCs w:val="24"/>
        </w:rPr>
        <w:t xml:space="preserve"> (VaR)</w:t>
      </w:r>
    </w:p>
    <w:p w:rsidR="005553AC" w:rsidRPr="006B630D" w:rsidRDefault="005553AC" w:rsidP="005553AC">
      <w:pPr>
        <w:pStyle w:val="NoSpacing"/>
        <w:jc w:val="both"/>
        <w:rPr>
          <w:rFonts w:ascii="Times New Roman" w:hAnsi="Times New Roman"/>
          <w:b/>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 xml:space="preserve">According to Van Horne (1992), </w:t>
      </w:r>
      <w:r>
        <w:rPr>
          <w:rFonts w:ascii="Times New Roman" w:hAnsi="Times New Roman"/>
          <w:sz w:val="24"/>
          <w:szCs w:val="24"/>
          <w:lang w:val="id-ID"/>
        </w:rPr>
        <w:t xml:space="preserve">the </w:t>
      </w:r>
      <w:r w:rsidRPr="00072B00">
        <w:rPr>
          <w:rFonts w:ascii="Times New Roman" w:hAnsi="Times New Roman"/>
          <w:sz w:val="24"/>
          <w:szCs w:val="24"/>
          <w:lang w:val="id-ID"/>
        </w:rPr>
        <w:t>risk is the possibility that the actual return on an investment will be different from the expected return on that investment, and that it is possible to attach probabilities to these expected outcome</w:t>
      </w:r>
      <w:r>
        <w:rPr>
          <w:rFonts w:ascii="Times New Roman" w:hAnsi="Times New Roman"/>
          <w:sz w:val="24"/>
          <w:szCs w:val="24"/>
          <w:lang w:val="id-ID"/>
        </w:rPr>
        <w:t>s</w:t>
      </w:r>
      <w:r w:rsidRPr="00072B00">
        <w:rPr>
          <w:rFonts w:ascii="Times New Roman" w:hAnsi="Times New Roman"/>
          <w:sz w:val="24"/>
          <w:szCs w:val="24"/>
          <w:lang w:val="id-ID"/>
        </w:rPr>
        <w:t xml:space="preserve">. Rees (1995) further states that: the variability in return is taken to represent the risk of investment to investors since the variability reflects the uncertainty attached </w:t>
      </w:r>
      <w:r>
        <w:rPr>
          <w:rFonts w:ascii="Times New Roman" w:hAnsi="Times New Roman"/>
          <w:sz w:val="24"/>
          <w:szCs w:val="24"/>
          <w:lang w:val="id-ID"/>
        </w:rPr>
        <w:t xml:space="preserve">to </w:t>
      </w:r>
      <w:r w:rsidRPr="00072B00">
        <w:rPr>
          <w:rFonts w:ascii="Times New Roman" w:hAnsi="Times New Roman"/>
          <w:sz w:val="24"/>
          <w:szCs w:val="24"/>
          <w:lang w:val="id-ID"/>
        </w:rPr>
        <w:t>return.</w:t>
      </w: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Risk can be measured, either by the average (or mean) variance or the standard deviation of returns from their expected values. Standard deviation can be expressed as:</w:t>
      </w:r>
    </w:p>
    <w:tbl>
      <w:tblPr>
        <w:tblW w:w="0" w:type="auto"/>
        <w:tblInd w:w="817" w:type="dxa"/>
        <w:tblLook w:val="04A0"/>
      </w:tblPr>
      <w:tblGrid>
        <w:gridCol w:w="4713"/>
        <w:gridCol w:w="2227"/>
      </w:tblGrid>
      <w:tr w:rsidR="005553AC" w:rsidRPr="00B310E9" w:rsidTr="005553AC">
        <w:trPr>
          <w:trHeight w:val="647"/>
        </w:trPr>
        <w:tc>
          <w:tcPr>
            <w:tcW w:w="4713" w:type="dxa"/>
          </w:tcPr>
          <w:p w:rsidR="005553AC" w:rsidRPr="00B310E9" w:rsidRDefault="005553AC" w:rsidP="00386E5B">
            <w:pPr>
              <w:pStyle w:val="NoSpacing"/>
              <w:ind w:firstLine="720"/>
              <w:jc w:val="center"/>
              <w:rPr>
                <w:rFonts w:ascii="Times New Roman" w:hAnsi="Times New Roman"/>
                <w:i/>
                <w:sz w:val="24"/>
                <w:szCs w:val="24"/>
                <w:lang w:val="id-ID"/>
              </w:rPr>
            </w:pPr>
            <w:r w:rsidRPr="00B310E9">
              <w:rPr>
                <w:rFonts w:ascii="Times New Roman" w:hAnsi="Times New Roman"/>
                <w:i/>
                <w:sz w:val="24"/>
                <w:szCs w:val="24"/>
                <w:lang w:val="id-ID"/>
              </w:rPr>
              <w:t xml:space="preserve">           </w:t>
            </w:r>
            <w:r>
              <w:rPr>
                <w:rFonts w:ascii="Times New Roman" w:hAnsi="Times New Roman"/>
                <w:i/>
                <w:noProof/>
                <w:sz w:val="24"/>
                <w:szCs w:val="24"/>
                <w:lang w:val="id-ID" w:eastAsia="id-ID"/>
              </w:rPr>
              <w:drawing>
                <wp:inline distT="0" distB="0" distL="0" distR="0">
                  <wp:extent cx="1398270" cy="473075"/>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398270" cy="473075"/>
                          </a:xfrm>
                          <a:prstGeom prst="rect">
                            <a:avLst/>
                          </a:prstGeom>
                          <a:noFill/>
                          <a:ln w="9525">
                            <a:noFill/>
                            <a:miter lim="800000"/>
                            <a:headEnd/>
                            <a:tailEnd/>
                          </a:ln>
                        </pic:spPr>
                      </pic:pic>
                    </a:graphicData>
                  </a:graphic>
                </wp:inline>
              </w:drawing>
            </w:r>
          </w:p>
        </w:tc>
        <w:tc>
          <w:tcPr>
            <w:tcW w:w="2227"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4</w:t>
            </w:r>
            <w:r w:rsidRPr="00B310E9">
              <w:rPr>
                <w:rFonts w:ascii="Times New Roman" w:hAnsi="Times New Roman"/>
                <w:sz w:val="24"/>
                <w:szCs w:val="24"/>
              </w:rPr>
              <w:t>)</w:t>
            </w:r>
          </w:p>
        </w:tc>
      </w:tr>
    </w:tbl>
    <w:p w:rsidR="005553AC" w:rsidRDefault="005553AC" w:rsidP="005553AC">
      <w:pPr>
        <w:pStyle w:val="NoSpacing"/>
        <w:jc w:val="both"/>
        <w:rPr>
          <w:rFonts w:ascii="Times New Roman" w:hAnsi="Times New Roman"/>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But the standard deviations assume returns that are normally distributed, w</w:t>
      </w:r>
      <w:r>
        <w:rPr>
          <w:rFonts w:ascii="Times New Roman" w:hAnsi="Times New Roman"/>
          <w:sz w:val="24"/>
          <w:szCs w:val="24"/>
          <w:lang w:val="id-ID"/>
        </w:rPr>
        <w:t>hile many stock returns are non-</w:t>
      </w:r>
      <w:r w:rsidRPr="00072B00">
        <w:rPr>
          <w:rFonts w:ascii="Times New Roman" w:hAnsi="Times New Roman"/>
          <w:sz w:val="24"/>
          <w:szCs w:val="24"/>
          <w:lang w:val="id-ID"/>
        </w:rPr>
        <w:t>normally distributed.</w:t>
      </w: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During the 1990s, a new technology to measure and control financial risk, based on statist</w:t>
      </w:r>
      <w:r>
        <w:rPr>
          <w:rFonts w:ascii="Times New Roman" w:hAnsi="Times New Roman"/>
          <w:sz w:val="24"/>
          <w:szCs w:val="24"/>
          <w:lang w:val="id-ID"/>
        </w:rPr>
        <w:t>ical techniques, emerged as the VaR</w:t>
      </w:r>
      <w:r w:rsidRPr="00072B00">
        <w:rPr>
          <w:rFonts w:ascii="Times New Roman" w:hAnsi="Times New Roman"/>
          <w:sz w:val="24"/>
          <w:szCs w:val="24"/>
          <w:lang w:val="id-ID"/>
        </w:rPr>
        <w:t xml:space="preserve"> methodology (Allen, 2003).  VaR is defined as the maximal loss of a financial position during a given period for a given probability (Jorion, 2002). According to Tsay (2010), VaR is the minimal loss under extraordinary market circumstances. </w:t>
      </w:r>
    </w:p>
    <w:p w:rsidR="005553AC" w:rsidRPr="00072B00" w:rsidRDefault="005553AC" w:rsidP="005553AC">
      <w:pPr>
        <w:pStyle w:val="NoSpacing"/>
        <w:jc w:val="both"/>
        <w:rPr>
          <w:rFonts w:ascii="Times New Roman" w:eastAsia="Times New Roman" w:hAnsi="Times New Roman"/>
          <w:sz w:val="24"/>
          <w:szCs w:val="24"/>
          <w:lang w:val="id-ID"/>
        </w:rPr>
      </w:pPr>
      <w:r w:rsidRPr="00072B00">
        <w:rPr>
          <w:rFonts w:ascii="Times New Roman" w:hAnsi="Times New Roman"/>
          <w:sz w:val="24"/>
          <w:szCs w:val="24"/>
          <w:lang w:val="id-ID"/>
        </w:rPr>
        <w:t>In formal terms, given a random Loss (</w:t>
      </w:r>
      <m:oMath>
        <m:r>
          <w:rPr>
            <w:rFonts w:ascii="Cambria Math" w:hAnsi="Cambria Math"/>
            <w:sz w:val="24"/>
            <w:szCs w:val="24"/>
          </w:rPr>
          <m:t>L</m:t>
        </m:r>
      </m:oMath>
      <w:r w:rsidRPr="00072B00">
        <w:rPr>
          <w:rFonts w:ascii="Times New Roman" w:hAnsi="Times New Roman"/>
          <w:sz w:val="24"/>
          <w:szCs w:val="24"/>
          <w:lang w:val="id-ID"/>
        </w:rPr>
        <w:t xml:space="preserve">) and a confidence level </w:t>
      </w:r>
      <m:oMath>
        <m:r>
          <w:rPr>
            <w:rFonts w:ascii="Cambria Math" w:hAnsi="Cambria Math"/>
            <w:sz w:val="24"/>
            <w:szCs w:val="24"/>
            <w:lang w:val="id-ID"/>
          </w:rPr>
          <m:t>(</m:t>
        </m:r>
        <m:r>
          <w:rPr>
            <w:rFonts w:ascii="Cambria Math" w:hAnsi="Cambria Math"/>
            <w:sz w:val="24"/>
            <w:szCs w:val="24"/>
          </w:rPr>
          <m:t>α)</m:t>
        </m:r>
      </m:oMath>
      <w:r w:rsidRPr="00072B00">
        <w:rPr>
          <w:rFonts w:ascii="Times New Roman" w:hAnsi="Times New Roman"/>
          <w:sz w:val="24"/>
          <w:szCs w:val="24"/>
          <w:lang w:val="id-ID"/>
        </w:rPr>
        <w:t xml:space="preserve">, </w:t>
      </w:r>
      <m:oMath>
        <m:sSub>
          <m:sSubPr>
            <m:ctrlPr>
              <w:rPr>
                <w:rFonts w:ascii="Cambria Math" w:hAnsi="Cambria Math"/>
                <w:i/>
                <w:sz w:val="24"/>
                <w:szCs w:val="24"/>
              </w:rPr>
            </m:ctrlPr>
          </m:sSubPr>
          <m:e>
            <m:r>
              <w:rPr>
                <w:rFonts w:ascii="Cambria Math" w:hAnsi="Cambria Math"/>
                <w:sz w:val="24"/>
                <w:szCs w:val="24"/>
              </w:rPr>
              <m:t>VaR</m:t>
            </m:r>
          </m:e>
          <m:sub>
            <m:r>
              <w:rPr>
                <w:rFonts w:ascii="Cambria Math" w:hAnsi="Cambria Math"/>
                <w:sz w:val="24"/>
                <w:szCs w:val="24"/>
              </w:rPr>
              <m:t>α</m:t>
            </m:r>
          </m:sub>
        </m:sSub>
        <m:d>
          <m:dPr>
            <m:ctrlPr>
              <w:rPr>
                <w:rFonts w:ascii="Cambria Math" w:hAnsi="Cambria Math"/>
                <w:i/>
                <w:sz w:val="24"/>
                <w:szCs w:val="24"/>
              </w:rPr>
            </m:ctrlPr>
          </m:dPr>
          <m:e>
            <m:r>
              <w:rPr>
                <w:rFonts w:ascii="Cambria Math" w:hAnsi="Cambria Math"/>
                <w:sz w:val="24"/>
                <w:szCs w:val="24"/>
              </w:rPr>
              <m:t>L</m:t>
            </m:r>
          </m:e>
        </m:d>
        <m:r>
          <w:rPr>
            <w:rFonts w:ascii="Cambria Math" w:hAnsi="Cambria Math"/>
            <w:sz w:val="24"/>
            <w:szCs w:val="24"/>
          </w:rPr>
          <m:t xml:space="preserve"> </m:t>
        </m:r>
      </m:oMath>
      <w:r w:rsidRPr="00072B00">
        <w:rPr>
          <w:rFonts w:ascii="Times New Roman" w:eastAsia="Times New Roman" w:hAnsi="Times New Roman"/>
          <w:sz w:val="24"/>
          <w:szCs w:val="24"/>
          <w:lang w:val="id-ID"/>
        </w:rPr>
        <w:t xml:space="preserve">can be defined as </w:t>
      </w:r>
      <w:r>
        <w:rPr>
          <w:rFonts w:ascii="Times New Roman" w:eastAsia="Times New Roman" w:hAnsi="Times New Roman"/>
          <w:sz w:val="24"/>
          <w:szCs w:val="24"/>
          <w:lang w:val="id-ID"/>
        </w:rPr>
        <w:t xml:space="preserve">the </w:t>
      </w:r>
      <w:r w:rsidRPr="00072B00">
        <w:rPr>
          <w:rFonts w:ascii="Times New Roman" w:eastAsia="Times New Roman" w:hAnsi="Times New Roman"/>
          <w:sz w:val="24"/>
          <w:szCs w:val="24"/>
          <w:lang w:val="id-ID"/>
        </w:rPr>
        <w:t xml:space="preserve">greatest lower bound (infimum) with a probability </w:t>
      </w:r>
      <m:oMath>
        <m:r>
          <w:rPr>
            <w:rFonts w:ascii="Cambria Math" w:hAnsi="Cambria Math"/>
            <w:sz w:val="24"/>
            <w:szCs w:val="24"/>
          </w:rPr>
          <m:t>α</m:t>
        </m:r>
      </m:oMath>
      <w:r w:rsidRPr="00072B00">
        <w:rPr>
          <w:rFonts w:ascii="Times New Roman" w:eastAsia="Times New Roman" w:hAnsi="Times New Roman"/>
          <w:sz w:val="24"/>
          <w:szCs w:val="24"/>
          <w:lang w:val="id-ID"/>
        </w:rPr>
        <w:t xml:space="preserve"> on the cumulative distribution function </w:t>
      </w:r>
      <m:oMath>
        <m:r>
          <w:rPr>
            <w:rFonts w:ascii="Cambria Math" w:eastAsia="Times New Roman" w:hAnsi="Cambria Math"/>
            <w:sz w:val="24"/>
            <w:szCs w:val="24"/>
            <w:lang w:val="id-ID"/>
          </w:rPr>
          <m:t>F</m:t>
        </m:r>
      </m:oMath>
      <w:r w:rsidRPr="00072B00">
        <w:rPr>
          <w:rFonts w:ascii="Times New Roman" w:eastAsia="Times New Roman" w:hAnsi="Times New Roman"/>
          <w:sz w:val="24"/>
          <w:szCs w:val="24"/>
          <w:lang w:val="id-ID"/>
        </w:rPr>
        <w:t xml:space="preserve"> of any financial position </w:t>
      </w:r>
      <m:oMath>
        <m:r>
          <w:rPr>
            <w:rFonts w:ascii="Cambria Math" w:hAnsi="Cambria Math"/>
            <w:sz w:val="24"/>
            <w:szCs w:val="24"/>
          </w:rPr>
          <m:t>L</m:t>
        </m:r>
      </m:oMath>
      <w:r w:rsidRPr="00072B00">
        <w:rPr>
          <w:rFonts w:ascii="Times New Roman" w:eastAsia="Times New Roman" w:hAnsi="Times New Roman"/>
          <w:sz w:val="24"/>
          <w:szCs w:val="24"/>
          <w:lang w:val="id-ID"/>
        </w:rPr>
        <w:t>, expressed as a random variable (BCBC, 2011; Chen, 2014).</w:t>
      </w:r>
    </w:p>
    <w:tbl>
      <w:tblPr>
        <w:tblW w:w="0" w:type="auto"/>
        <w:tblInd w:w="817" w:type="dxa"/>
        <w:tblLook w:val="04A0"/>
      </w:tblPr>
      <w:tblGrid>
        <w:gridCol w:w="4584"/>
        <w:gridCol w:w="2356"/>
      </w:tblGrid>
      <w:tr w:rsidR="005553AC" w:rsidRPr="00B310E9" w:rsidTr="002D5CC1">
        <w:tc>
          <w:tcPr>
            <w:tcW w:w="4584" w:type="dxa"/>
            <w:vAlign w:val="center"/>
          </w:tcPr>
          <w:p w:rsidR="005553AC" w:rsidRPr="00B310E9" w:rsidRDefault="005553AC" w:rsidP="00386E5B">
            <w:pPr>
              <w:pStyle w:val="NoSpacing"/>
              <w:jc w:val="center"/>
              <w:rPr>
                <w:rFonts w:ascii="Times New Roman" w:hAnsi="Times New Roman"/>
                <w:sz w:val="24"/>
                <w:szCs w:val="24"/>
              </w:rPr>
            </w:pPr>
            <w:r w:rsidRPr="00B310E9">
              <w:rPr>
                <w:rFonts w:ascii="Times New Roman" w:hAnsi="Times New Roman"/>
                <w:sz w:val="24"/>
                <w:szCs w:val="24"/>
                <w:lang w:val="id-ID"/>
              </w:rPr>
              <w:t xml:space="preserve">                    </w:t>
            </w:r>
            <w:r>
              <w:rPr>
                <w:rFonts w:ascii="Times New Roman" w:hAnsi="Times New Roman"/>
                <w:noProof/>
                <w:sz w:val="24"/>
                <w:szCs w:val="24"/>
                <w:lang w:val="id-ID" w:eastAsia="id-ID"/>
              </w:rPr>
              <w:drawing>
                <wp:inline distT="0" distB="0" distL="0" distR="0">
                  <wp:extent cx="2237740" cy="236855"/>
                  <wp:effectExtent l="19050" t="0" r="0" b="0"/>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237740" cy="236855"/>
                          </a:xfrm>
                          <a:prstGeom prst="rect">
                            <a:avLst/>
                          </a:prstGeom>
                          <a:noFill/>
                          <a:ln w="9525">
                            <a:noFill/>
                            <a:miter lim="800000"/>
                            <a:headEnd/>
                            <a:tailEnd/>
                          </a:ln>
                        </pic:spPr>
                      </pic:pic>
                    </a:graphicData>
                  </a:graphic>
                </wp:inline>
              </w:drawing>
            </w:r>
          </w:p>
        </w:tc>
        <w:tc>
          <w:tcPr>
            <w:tcW w:w="2356"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5</w:t>
            </w:r>
            <w:r w:rsidRPr="00B310E9">
              <w:rPr>
                <w:rFonts w:ascii="Times New Roman" w:hAnsi="Times New Roman"/>
                <w:sz w:val="24"/>
                <w:szCs w:val="24"/>
              </w:rPr>
              <w:t>)</w:t>
            </w:r>
          </w:p>
        </w:tc>
      </w:tr>
    </w:tbl>
    <w:p w:rsidR="005553AC" w:rsidRPr="00072B00" w:rsidRDefault="005553AC" w:rsidP="005553AC">
      <w:pPr>
        <w:pStyle w:val="NoSpacing"/>
        <w:jc w:val="both"/>
        <w:rPr>
          <w:rFonts w:ascii="Times New Roman" w:eastAsia="Times New Roman" w:hAnsi="Times New Roman"/>
          <w:sz w:val="24"/>
          <w:szCs w:val="24"/>
          <w:lang w:val="id-ID"/>
        </w:rPr>
      </w:pPr>
    </w:p>
    <w:p w:rsidR="005553AC" w:rsidRPr="00072B00" w:rsidRDefault="005553AC" w:rsidP="005553AC">
      <w:pPr>
        <w:pStyle w:val="NoSpacing"/>
        <w:jc w:val="both"/>
        <w:rPr>
          <w:rFonts w:ascii="Times New Roman" w:eastAsia="Times New Roman" w:hAnsi="Times New Roman"/>
          <w:sz w:val="24"/>
          <w:szCs w:val="24"/>
          <w:lang w:val="id-ID"/>
        </w:rPr>
      </w:pPr>
      <w:r w:rsidRPr="00072B00">
        <w:rPr>
          <w:rFonts w:ascii="Times New Roman" w:eastAsia="Times New Roman" w:hAnsi="Times New Roman"/>
          <w:sz w:val="24"/>
          <w:szCs w:val="24"/>
          <w:lang w:val="id-ID"/>
        </w:rPr>
        <w:t xml:space="preserve">As a matter of statistical modeling, parametric VaR is computed as </w:t>
      </w:r>
      <w:r>
        <w:rPr>
          <w:rFonts w:ascii="Times New Roman" w:eastAsia="Times New Roman" w:hAnsi="Times New Roman"/>
          <w:sz w:val="24"/>
          <w:szCs w:val="24"/>
          <w:lang w:val="id-ID"/>
        </w:rPr>
        <w:t xml:space="preserve">a </w:t>
      </w:r>
      <w:r w:rsidRPr="00072B00">
        <w:rPr>
          <w:rFonts w:ascii="Times New Roman" w:eastAsia="Times New Roman" w:hAnsi="Times New Roman"/>
          <w:sz w:val="24"/>
          <w:szCs w:val="24"/>
          <w:lang w:val="id-ID"/>
        </w:rPr>
        <w:t xml:space="preserve">product of the statistical percentiles/ quantiles of the standard normal distribution function </w:t>
      </w:r>
      <m:oMath>
        <m:d>
          <m:dPr>
            <m:ctrlPr>
              <w:rPr>
                <w:rFonts w:ascii="Cambria Math" w:eastAsia="Times New Roman" w:hAnsi="Cambria Math"/>
                <w:i/>
                <w:sz w:val="24"/>
                <w:szCs w:val="24"/>
                <w:lang w:val="id-ID"/>
              </w:rPr>
            </m:ctrlPr>
          </m:d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α</m:t>
                </m:r>
              </m:sub>
            </m:sSub>
          </m:e>
        </m:d>
      </m:oMath>
      <w:r w:rsidRPr="00072B00">
        <w:rPr>
          <w:rFonts w:ascii="Times New Roman" w:eastAsia="Times New Roman" w:hAnsi="Times New Roman"/>
          <w:sz w:val="24"/>
          <w:szCs w:val="24"/>
          <w:lang w:val="id-ID"/>
        </w:rPr>
        <w:t xml:space="preserve">, standard deviation </w:t>
      </w:r>
      <m:oMath>
        <m:d>
          <m:dPr>
            <m:ctrlPr>
              <w:rPr>
                <w:rFonts w:ascii="Cambria Math" w:eastAsia="Times New Roman" w:hAnsi="Cambria Math"/>
                <w:i/>
                <w:sz w:val="24"/>
                <w:szCs w:val="24"/>
                <w:lang w:val="id-ID"/>
              </w:rPr>
            </m:ctrlPr>
          </m:dPr>
          <m:e>
            <m:r>
              <w:rPr>
                <w:rFonts w:ascii="Cambria Math" w:hAnsi="Cambria Math"/>
                <w:sz w:val="24"/>
                <w:szCs w:val="24"/>
              </w:rPr>
              <m:t>σ</m:t>
            </m:r>
          </m:e>
        </m:d>
      </m:oMath>
      <w:r w:rsidRPr="00072B00">
        <w:rPr>
          <w:rFonts w:ascii="Times New Roman" w:eastAsia="Times New Roman" w:hAnsi="Times New Roman"/>
          <w:sz w:val="24"/>
          <w:szCs w:val="24"/>
          <w:lang w:val="id-ID"/>
        </w:rPr>
        <w:t xml:space="preserve">, total investment value </w:t>
      </w:r>
      <m:oMath>
        <m:d>
          <m:dPr>
            <m:ctrlPr>
              <w:rPr>
                <w:rFonts w:ascii="Cambria Math" w:eastAsia="Times New Roman" w:hAnsi="Cambria Math"/>
                <w:i/>
                <w:sz w:val="24"/>
                <w:szCs w:val="24"/>
                <w:lang w:val="id-ID"/>
              </w:rPr>
            </m:ctrlPr>
          </m:dPr>
          <m:e>
            <m:r>
              <w:rPr>
                <w:rFonts w:ascii="Cambria Math" w:hAnsi="Cambria Math"/>
                <w:sz w:val="24"/>
                <w:szCs w:val="24"/>
              </w:rPr>
              <m:t>v</m:t>
            </m:r>
          </m:e>
        </m:d>
      </m:oMath>
      <w:r w:rsidRPr="00072B00">
        <w:rPr>
          <w:rFonts w:ascii="Times New Roman" w:eastAsia="Times New Roman" w:hAnsi="Times New Roman"/>
          <w:sz w:val="24"/>
          <w:szCs w:val="24"/>
          <w:lang w:val="id-ID"/>
        </w:rPr>
        <w:t>, and the square root of time (Concolation, 2016), which can be expressed as follows:</w:t>
      </w:r>
    </w:p>
    <w:p w:rsidR="005553AC" w:rsidRPr="00072B00" w:rsidRDefault="005553AC" w:rsidP="005553AC">
      <w:pPr>
        <w:pStyle w:val="NoSpacing"/>
        <w:jc w:val="both"/>
        <w:rPr>
          <w:rFonts w:ascii="Times New Roman" w:eastAsia="Times New Roman" w:hAnsi="Times New Roman"/>
          <w:sz w:val="24"/>
          <w:szCs w:val="24"/>
          <w:lang w:val="id-ID"/>
        </w:rPr>
      </w:pPr>
    </w:p>
    <w:tbl>
      <w:tblPr>
        <w:tblW w:w="0" w:type="auto"/>
        <w:tblInd w:w="817" w:type="dxa"/>
        <w:tblLook w:val="04A0"/>
      </w:tblPr>
      <w:tblGrid>
        <w:gridCol w:w="4470"/>
        <w:gridCol w:w="2470"/>
      </w:tblGrid>
      <w:tr w:rsidR="005553AC" w:rsidRPr="00B310E9" w:rsidTr="00386E5B">
        <w:tc>
          <w:tcPr>
            <w:tcW w:w="5103" w:type="dxa"/>
            <w:vAlign w:val="center"/>
          </w:tcPr>
          <w:p w:rsidR="005553AC" w:rsidRPr="00B310E9" w:rsidRDefault="005553AC" w:rsidP="00386E5B">
            <w:pPr>
              <w:pStyle w:val="NoSpacing"/>
              <w:jc w:val="center"/>
              <w:rPr>
                <w:rFonts w:ascii="Times New Roman" w:hAnsi="Times New Roman"/>
                <w:i/>
                <w:sz w:val="24"/>
                <w:szCs w:val="24"/>
                <w:lang w:val="id-ID"/>
              </w:rPr>
            </w:pPr>
            <w:r w:rsidRPr="00B310E9">
              <w:rPr>
                <w:rFonts w:ascii="Times New Roman" w:hAnsi="Times New Roman"/>
                <w:i/>
                <w:sz w:val="24"/>
                <w:szCs w:val="24"/>
                <w:lang w:val="id-ID"/>
              </w:rPr>
              <w:t xml:space="preserve">   </w:t>
            </w:r>
            <w:r>
              <w:rPr>
                <w:rFonts w:ascii="Times New Roman" w:hAnsi="Times New Roman"/>
                <w:i/>
                <w:noProof/>
                <w:sz w:val="24"/>
                <w:szCs w:val="24"/>
                <w:lang w:val="id-ID" w:eastAsia="id-ID"/>
              </w:rPr>
              <w:drawing>
                <wp:inline distT="0" distB="0" distL="0" distR="0">
                  <wp:extent cx="1936115" cy="193675"/>
                  <wp:effectExtent l="19050" t="0" r="6985" b="0"/>
                  <wp:docPr id="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936115" cy="193675"/>
                          </a:xfrm>
                          <a:prstGeom prst="rect">
                            <a:avLst/>
                          </a:prstGeom>
                          <a:noFill/>
                          <a:ln w="9525">
                            <a:noFill/>
                            <a:miter lim="800000"/>
                            <a:headEnd/>
                            <a:tailEnd/>
                          </a:ln>
                        </pic:spPr>
                      </pic:pic>
                    </a:graphicData>
                  </a:graphic>
                </wp:inline>
              </w:drawing>
            </w:r>
          </w:p>
        </w:tc>
        <w:tc>
          <w:tcPr>
            <w:tcW w:w="3544"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6</w:t>
            </w:r>
            <w:r w:rsidRPr="00B310E9">
              <w:rPr>
                <w:rFonts w:ascii="Times New Roman" w:hAnsi="Times New Roman"/>
                <w:sz w:val="24"/>
                <w:szCs w:val="24"/>
              </w:rPr>
              <w:t>)</w:t>
            </w:r>
          </w:p>
        </w:tc>
      </w:tr>
    </w:tbl>
    <w:p w:rsidR="005553AC" w:rsidRPr="00072B00" w:rsidRDefault="005553AC" w:rsidP="005553AC">
      <w:pPr>
        <w:pStyle w:val="NoSpacing"/>
        <w:jc w:val="both"/>
        <w:rPr>
          <w:rFonts w:ascii="Times New Roman" w:hAnsi="Times New Roman"/>
          <w:sz w:val="24"/>
          <w:szCs w:val="24"/>
          <w:lang w:val="id-ID"/>
        </w:rPr>
      </w:pPr>
    </w:p>
    <w:p w:rsidR="005553AC" w:rsidRPr="00072B00" w:rsidRDefault="005553AC" w:rsidP="005553AC">
      <w:pPr>
        <w:pStyle w:val="NoSpacing"/>
        <w:jc w:val="both"/>
        <w:rPr>
          <w:rFonts w:ascii="Times New Roman" w:eastAsia="Times New Roman" w:hAnsi="Times New Roman"/>
          <w:sz w:val="24"/>
          <w:szCs w:val="24"/>
          <w:lang w:val="id-ID"/>
        </w:rPr>
      </w:pPr>
      <w:r w:rsidRPr="00072B00">
        <w:rPr>
          <w:rFonts w:ascii="Times New Roman" w:hAnsi="Times New Roman"/>
          <w:sz w:val="24"/>
          <w:szCs w:val="24"/>
          <w:lang w:val="id-ID"/>
        </w:rPr>
        <w:t xml:space="preserve">When returns are normally distributed, the VaR estimate is simplified as shown in equation (6). However, when returns are somewhat close to normally distributed, but not too close to normally distributed, the Cornish-Fisher approach can be used </w:t>
      </w:r>
      <w:r w:rsidRPr="00072B00">
        <w:rPr>
          <w:rFonts w:ascii="Times New Roman" w:eastAsia="Times New Roman" w:hAnsi="Times New Roman"/>
          <w:sz w:val="24"/>
          <w:szCs w:val="24"/>
          <w:lang w:val="id-ID"/>
        </w:rPr>
        <w:t>(Chambers dan Lu, 2011)</w:t>
      </w:r>
      <w:r w:rsidRPr="00072B00">
        <w:rPr>
          <w:rFonts w:ascii="Times New Roman" w:hAnsi="Times New Roman"/>
          <w:sz w:val="24"/>
          <w:szCs w:val="24"/>
          <w:lang w:val="id-ID"/>
        </w:rPr>
        <w:t>. Where</w:t>
      </w:r>
      <w:r w:rsidRPr="00072B00">
        <w:rPr>
          <w:rFonts w:ascii="Times New Roman" w:eastAsia="Times New Roman" w:hAnsi="Times New Roman"/>
          <w:sz w:val="24"/>
          <w:szCs w:val="24"/>
          <w:lang w:val="id-ID"/>
        </w:rPr>
        <w:t xml:space="preserve"> </w:t>
      </w:r>
      <m:oMath>
        <m:r>
          <w:rPr>
            <w:rFonts w:ascii="Cambria Math" w:hAnsi="Cambria Math"/>
            <w:sz w:val="24"/>
            <w:szCs w:val="24"/>
          </w:rPr>
          <m:t xml:space="preserve"> S</m:t>
        </m:r>
      </m:oMath>
      <w:r w:rsidRPr="00072B00">
        <w:rPr>
          <w:rFonts w:ascii="Times New Roman" w:hAnsi="Times New Roman"/>
          <w:sz w:val="24"/>
          <w:szCs w:val="24"/>
          <w:lang w:val="id-ID"/>
        </w:rPr>
        <w:t xml:space="preserve"> is the coefficient of skewness, the Cornish-Fisher approximation is used by determining a critical value </w:t>
      </w:r>
      <m:oMath>
        <m:d>
          <m:dPr>
            <m:ctrlPr>
              <w:rPr>
                <w:rFonts w:ascii="Cambria Math" w:eastAsia="Times New Roman" w:hAnsi="Cambria Math"/>
                <w:i/>
                <w:sz w:val="24"/>
                <w:szCs w:val="24"/>
                <w:lang w:val="id-ID"/>
              </w:rPr>
            </m:ctrlPr>
          </m:dPr>
          <m:e>
            <m:sSubSup>
              <m:sSubSupPr>
                <m:ctrlPr>
                  <w:rPr>
                    <w:rFonts w:ascii="Cambria Math" w:hAnsi="Cambria Math"/>
                    <w:i/>
                    <w:sz w:val="24"/>
                    <w:szCs w:val="24"/>
                    <w:lang w:val="id-ID"/>
                  </w:rPr>
                </m:ctrlPr>
              </m:sSubSupPr>
              <m:e>
                <m:r>
                  <w:rPr>
                    <w:rFonts w:ascii="Cambria Math" w:hAnsi="Cambria Math"/>
                    <w:sz w:val="24"/>
                    <w:szCs w:val="24"/>
                    <w:lang w:val="id-ID"/>
                  </w:rPr>
                  <m:t>Z</m:t>
                </m:r>
              </m:e>
              <m:sub>
                <m:r>
                  <w:rPr>
                    <w:rFonts w:ascii="Cambria Math" w:hAnsi="Cambria Math"/>
                    <w:sz w:val="24"/>
                    <w:szCs w:val="24"/>
                    <w:lang w:val="id-ID"/>
                  </w:rPr>
                  <m:t>α</m:t>
                </m:r>
              </m:sub>
              <m:sup>
                <m:r>
                  <w:rPr>
                    <w:rFonts w:ascii="Cambria Math" w:hAnsi="Cambria Math"/>
                    <w:sz w:val="24"/>
                    <w:szCs w:val="24"/>
                    <w:lang w:val="id-ID"/>
                  </w:rPr>
                  <m:t>*</m:t>
                </m:r>
              </m:sup>
            </m:sSubSup>
          </m:e>
        </m:d>
      </m:oMath>
      <w:r w:rsidRPr="00072B00">
        <w:rPr>
          <w:rFonts w:ascii="Times New Roman" w:eastAsia="Times New Roman" w:hAnsi="Times New Roman"/>
          <w:sz w:val="24"/>
          <w:szCs w:val="24"/>
          <w:lang w:val="id-ID"/>
        </w:rPr>
        <w:t xml:space="preserve"> to be used in place of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α</m:t>
            </m:r>
          </m:sub>
        </m:sSub>
      </m:oMath>
      <w:r w:rsidRPr="00072B00">
        <w:rPr>
          <w:rFonts w:ascii="Times New Roman" w:eastAsia="Times New Roman" w:hAnsi="Times New Roman"/>
          <w:sz w:val="24"/>
          <w:szCs w:val="24"/>
          <w:lang w:val="id-ID"/>
        </w:rPr>
        <w:t xml:space="preserve"> in the formula for VaR.</w:t>
      </w:r>
    </w:p>
    <w:tbl>
      <w:tblPr>
        <w:tblW w:w="0" w:type="auto"/>
        <w:tblInd w:w="817" w:type="dxa"/>
        <w:tblLook w:val="04A0"/>
      </w:tblPr>
      <w:tblGrid>
        <w:gridCol w:w="4446"/>
        <w:gridCol w:w="2494"/>
      </w:tblGrid>
      <w:tr w:rsidR="005553AC" w:rsidRPr="00B310E9" w:rsidTr="00386E5B">
        <w:trPr>
          <w:trHeight w:val="784"/>
        </w:trPr>
        <w:tc>
          <w:tcPr>
            <w:tcW w:w="5103" w:type="dxa"/>
            <w:vAlign w:val="center"/>
          </w:tcPr>
          <w:p w:rsidR="005553AC" w:rsidRPr="00B310E9" w:rsidRDefault="005553AC" w:rsidP="00386E5B">
            <w:pPr>
              <w:pStyle w:val="NoSpacing"/>
              <w:jc w:val="center"/>
              <w:rPr>
                <w:rFonts w:ascii="Times New Roman" w:hAnsi="Times New Roman"/>
                <w:sz w:val="24"/>
                <w:szCs w:val="24"/>
                <w:lang w:val="id-ID"/>
              </w:rPr>
            </w:pPr>
            <w:r w:rsidRPr="00B310E9">
              <w:rPr>
                <w:rFonts w:ascii="Times New Roman" w:hAnsi="Times New Roman"/>
                <w:sz w:val="24"/>
                <w:szCs w:val="24"/>
                <w:lang w:val="id-ID"/>
              </w:rPr>
              <w:t xml:space="preserve">                  </w:t>
            </w:r>
            <w:r>
              <w:rPr>
                <w:rFonts w:ascii="Times New Roman" w:hAnsi="Times New Roman"/>
                <w:noProof/>
                <w:sz w:val="24"/>
                <w:szCs w:val="24"/>
                <w:lang w:val="id-ID" w:eastAsia="id-ID"/>
              </w:rPr>
              <w:drawing>
                <wp:inline distT="0" distB="0" distL="0" distR="0">
                  <wp:extent cx="1871980" cy="419735"/>
                  <wp:effectExtent l="19050" t="0" r="0" b="0"/>
                  <wp:docPr id="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1871980" cy="419735"/>
                          </a:xfrm>
                          <a:prstGeom prst="rect">
                            <a:avLst/>
                          </a:prstGeom>
                          <a:noFill/>
                          <a:ln w="9525">
                            <a:noFill/>
                            <a:miter lim="800000"/>
                            <a:headEnd/>
                            <a:tailEnd/>
                          </a:ln>
                        </pic:spPr>
                      </pic:pic>
                    </a:graphicData>
                  </a:graphic>
                </wp:inline>
              </w:drawing>
            </w:r>
          </w:p>
        </w:tc>
        <w:tc>
          <w:tcPr>
            <w:tcW w:w="3544"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7</w:t>
            </w:r>
            <w:r w:rsidRPr="00B310E9">
              <w:rPr>
                <w:rFonts w:ascii="Times New Roman" w:hAnsi="Times New Roman"/>
                <w:sz w:val="24"/>
                <w:szCs w:val="24"/>
              </w:rPr>
              <w:t>)</w:t>
            </w:r>
          </w:p>
        </w:tc>
      </w:tr>
    </w:tbl>
    <w:p w:rsidR="005553AC" w:rsidRPr="00072B00" w:rsidRDefault="005553AC" w:rsidP="005553AC">
      <w:pPr>
        <w:pStyle w:val="NoSpacing"/>
        <w:jc w:val="both"/>
        <w:rPr>
          <w:rFonts w:ascii="Times New Roman" w:hAnsi="Times New Roman"/>
          <w:sz w:val="24"/>
          <w:szCs w:val="24"/>
          <w:lang w:val="id-ID"/>
        </w:rPr>
      </w:pP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The Sharpe's Ratio and its Modifications</w:t>
      </w:r>
    </w:p>
    <w:p w:rsidR="005553AC" w:rsidRPr="00072B00" w:rsidRDefault="005553AC" w:rsidP="005553AC">
      <w:pPr>
        <w:pStyle w:val="NoSpacing"/>
        <w:jc w:val="both"/>
        <w:rPr>
          <w:rFonts w:ascii="Times New Roman" w:hAnsi="Times New Roman"/>
          <w:b/>
          <w:sz w:val="24"/>
          <w:szCs w:val="24"/>
          <w:lang w:val="id-ID"/>
        </w:rPr>
      </w:pP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 xml:space="preserve">The </w:t>
      </w:r>
      <w:r w:rsidRPr="00072B00">
        <w:rPr>
          <w:rFonts w:ascii="Times New Roman" w:hAnsi="Times New Roman"/>
          <w:b/>
          <w:sz w:val="24"/>
          <w:szCs w:val="24"/>
        </w:rPr>
        <w:t xml:space="preserve">Sharpe's </w:t>
      </w:r>
      <w:r w:rsidRPr="00072B00">
        <w:rPr>
          <w:rFonts w:ascii="Times New Roman" w:hAnsi="Times New Roman"/>
          <w:b/>
          <w:sz w:val="24"/>
          <w:szCs w:val="24"/>
          <w:lang w:val="id-ID"/>
        </w:rPr>
        <w:t>Ratio</w:t>
      </w:r>
    </w:p>
    <w:p w:rsidR="005553AC" w:rsidRPr="00072B00" w:rsidRDefault="005553AC" w:rsidP="005553AC">
      <w:pPr>
        <w:pStyle w:val="NoSpacing"/>
        <w:jc w:val="both"/>
        <w:rPr>
          <w:rFonts w:ascii="Times New Roman" w:hAnsi="Times New Roman"/>
          <w:b/>
          <w:sz w:val="24"/>
          <w:szCs w:val="24"/>
          <w:lang w:val="id-ID"/>
        </w:rPr>
      </w:pPr>
    </w:p>
    <w:p w:rsidR="005553AC" w:rsidRPr="00072B00" w:rsidRDefault="005553AC" w:rsidP="005553AC">
      <w:pPr>
        <w:pStyle w:val="NoSpacing"/>
        <w:jc w:val="both"/>
        <w:rPr>
          <w:rFonts w:ascii="Times New Roman" w:eastAsia="Times New Roman" w:hAnsi="Times New Roman"/>
          <w:sz w:val="24"/>
          <w:szCs w:val="24"/>
          <w:lang w:val="id-ID"/>
        </w:rPr>
      </w:pPr>
      <w:r w:rsidRPr="00072B00">
        <w:rPr>
          <w:rFonts w:ascii="Times New Roman" w:hAnsi="Times New Roman"/>
          <w:sz w:val="24"/>
          <w:szCs w:val="24"/>
          <w:lang w:val="id-ID"/>
        </w:rPr>
        <w:t xml:space="preserve">The predicted performance of a portfolio is described with two measures: the expected rate of return </w:t>
      </w:r>
      <m:oMath>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acc>
                  <m:accPr>
                    <m:chr m:val="̅"/>
                    <m:ctrlPr>
                      <w:rPr>
                        <w:rFonts w:ascii="Cambria Math" w:eastAsia="Times New Roman" w:hAnsi="Cambria Math"/>
                        <w:i/>
                        <w:sz w:val="24"/>
                        <w:szCs w:val="24"/>
                      </w:rPr>
                    </m:ctrlPr>
                  </m:accPr>
                  <m:e>
                    <m:r>
                      <w:rPr>
                        <w:rFonts w:ascii="Cambria Math" w:eastAsia="Times New Roman" w:hAnsi="Cambria Math"/>
                        <w:sz w:val="24"/>
                        <w:szCs w:val="24"/>
                      </w:rPr>
                      <m:t>R</m:t>
                    </m:r>
                  </m:e>
                </m:acc>
              </m:e>
              <m:sub>
                <m:r>
                  <w:rPr>
                    <w:rFonts w:ascii="Cambria Math" w:eastAsia="Times New Roman" w:hAnsi="Cambria Math"/>
                    <w:sz w:val="24"/>
                    <w:szCs w:val="24"/>
                  </w:rPr>
                  <m:t>t</m:t>
                </m:r>
              </m:sub>
            </m:sSub>
          </m:e>
        </m:d>
      </m:oMath>
      <w:r w:rsidRPr="00072B00">
        <w:rPr>
          <w:rFonts w:ascii="Times New Roman" w:eastAsia="Times New Roman" w:hAnsi="Times New Roman"/>
          <w:sz w:val="24"/>
          <w:szCs w:val="24"/>
          <w:lang w:val="id-ID"/>
        </w:rPr>
        <w:t xml:space="preserve"> and the predicted variability (risk), expressed as the standard deviation of return </w:t>
      </w:r>
      <m:oMath>
        <m:d>
          <m:dPr>
            <m:ctrlPr>
              <w:rPr>
                <w:rFonts w:ascii="Cambria Math" w:eastAsia="Times New Roman" w:hAnsi="Cambria Math"/>
                <w:i/>
                <w:sz w:val="24"/>
                <w:szCs w:val="24"/>
                <w:lang w:val="id-ID"/>
              </w:rPr>
            </m:ctrlPr>
          </m:dPr>
          <m:e>
            <m:r>
              <w:rPr>
                <w:rFonts w:ascii="Cambria Math" w:hAnsi="Cambria Math"/>
                <w:sz w:val="24"/>
                <w:szCs w:val="24"/>
              </w:rPr>
              <m:t>σ</m:t>
            </m:r>
          </m:e>
        </m:d>
        <m:r>
          <w:rPr>
            <w:rFonts w:ascii="Cambria Math" w:eastAsia="Times New Roman" w:hAnsi="Cambria Math"/>
            <w:sz w:val="24"/>
            <w:szCs w:val="24"/>
            <w:lang w:val="id-ID"/>
          </w:rPr>
          <m:t xml:space="preserve"> </m:t>
        </m:r>
      </m:oMath>
      <w:r w:rsidRPr="00072B00">
        <w:rPr>
          <w:rFonts w:ascii="Times New Roman" w:eastAsia="Times New Roman" w:hAnsi="Times New Roman"/>
          <w:sz w:val="24"/>
          <w:szCs w:val="24"/>
          <w:lang w:val="id-ID"/>
        </w:rPr>
        <w:t xml:space="preserve">(Sharpe, 1966). The Sharpe Ratio </w:t>
      </w:r>
      <m:oMath>
        <m:d>
          <m:dPr>
            <m:ctrlPr>
              <w:rPr>
                <w:rFonts w:ascii="Cambria Math" w:eastAsia="Times New Roman" w:hAnsi="Cambria Math"/>
                <w:i/>
                <w:sz w:val="24"/>
                <w:szCs w:val="24"/>
                <w:lang w:val="id-ID"/>
              </w:rPr>
            </m:ctrlPr>
          </m:dPr>
          <m:e>
            <m:r>
              <w:rPr>
                <w:rFonts w:ascii="Cambria Math" w:eastAsia="Times New Roman" w:hAnsi="Cambria Math"/>
                <w:sz w:val="24"/>
                <w:szCs w:val="24"/>
                <w:lang w:val="id-ID"/>
              </w:rPr>
              <m:t>SR</m:t>
            </m:r>
          </m:e>
        </m:d>
      </m:oMath>
      <w:r w:rsidRPr="00072B00">
        <w:rPr>
          <w:rFonts w:ascii="Times New Roman" w:eastAsia="Times New Roman" w:hAnsi="Times New Roman"/>
          <w:sz w:val="24"/>
          <w:szCs w:val="24"/>
          <w:lang w:val="id-ID"/>
        </w:rPr>
        <w:t xml:space="preserve"> is computed as shown in equation 8 (Camilleri and Farragui, 2018). </w:t>
      </w:r>
    </w:p>
    <w:tbl>
      <w:tblPr>
        <w:tblW w:w="0" w:type="auto"/>
        <w:tblInd w:w="817" w:type="dxa"/>
        <w:tblLook w:val="04A0"/>
      </w:tblPr>
      <w:tblGrid>
        <w:gridCol w:w="4267"/>
        <w:gridCol w:w="2673"/>
      </w:tblGrid>
      <w:tr w:rsidR="005553AC" w:rsidRPr="00B310E9" w:rsidTr="00386E5B">
        <w:trPr>
          <w:trHeight w:val="784"/>
        </w:trPr>
        <w:tc>
          <w:tcPr>
            <w:tcW w:w="5103" w:type="dxa"/>
            <w:vAlign w:val="center"/>
          </w:tcPr>
          <w:p w:rsidR="005553AC" w:rsidRPr="00B310E9" w:rsidRDefault="005553AC" w:rsidP="00386E5B">
            <w:pPr>
              <w:pStyle w:val="NoSpacing"/>
              <w:jc w:val="center"/>
              <w:rPr>
                <w:rFonts w:ascii="Times New Roman" w:hAnsi="Times New Roman"/>
                <w:sz w:val="24"/>
                <w:szCs w:val="24"/>
                <w:lang w:val="id-ID"/>
              </w:rPr>
            </w:pPr>
            <w:r w:rsidRPr="00B310E9">
              <w:rPr>
                <w:rFonts w:ascii="Times New Roman" w:hAnsi="Times New Roman"/>
                <w:sz w:val="24"/>
                <w:szCs w:val="24"/>
                <w:lang w:val="id-ID"/>
              </w:rPr>
              <w:t xml:space="preserve">    </w:t>
            </w:r>
            <w:r>
              <w:rPr>
                <w:rFonts w:ascii="Times New Roman" w:hAnsi="Times New Roman"/>
                <w:noProof/>
                <w:sz w:val="24"/>
                <w:szCs w:val="24"/>
                <w:lang w:val="id-ID" w:eastAsia="id-ID"/>
              </w:rPr>
              <w:drawing>
                <wp:inline distT="0" distB="0" distL="0" distR="0">
                  <wp:extent cx="1226185" cy="441325"/>
                  <wp:effectExtent l="19050" t="0" r="0" b="0"/>
                  <wp:docPr id="5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1226185" cy="441325"/>
                          </a:xfrm>
                          <a:prstGeom prst="rect">
                            <a:avLst/>
                          </a:prstGeom>
                          <a:noFill/>
                          <a:ln w="9525">
                            <a:noFill/>
                            <a:miter lim="800000"/>
                            <a:headEnd/>
                            <a:tailEnd/>
                          </a:ln>
                        </pic:spPr>
                      </pic:pic>
                    </a:graphicData>
                  </a:graphic>
                </wp:inline>
              </w:drawing>
            </w:r>
          </w:p>
        </w:tc>
        <w:tc>
          <w:tcPr>
            <w:tcW w:w="3544"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8</w:t>
            </w:r>
            <w:r w:rsidRPr="00B310E9">
              <w:rPr>
                <w:rFonts w:ascii="Times New Roman" w:hAnsi="Times New Roman"/>
                <w:sz w:val="24"/>
                <w:szCs w:val="24"/>
              </w:rPr>
              <w:t>)</w:t>
            </w:r>
          </w:p>
        </w:tc>
      </w:tr>
    </w:tbl>
    <w:p w:rsidR="005553AC" w:rsidRPr="00072B00" w:rsidRDefault="005553AC" w:rsidP="005553AC">
      <w:pPr>
        <w:pStyle w:val="NoSpacing"/>
        <w:jc w:val="both"/>
        <w:rPr>
          <w:rFonts w:ascii="Times New Roman" w:eastAsia="Times New Roman" w:hAnsi="Times New Roman"/>
          <w:sz w:val="24"/>
          <w:szCs w:val="24"/>
          <w:lang w:val="id-ID"/>
        </w:rPr>
      </w:pPr>
      <w:r w:rsidRPr="00072B00">
        <w:rPr>
          <w:rFonts w:ascii="Times New Roman" w:eastAsia="Times New Roman" w:hAnsi="Times New Roman"/>
          <w:sz w:val="24"/>
          <w:szCs w:val="24"/>
          <w:lang w:val="id-ID"/>
        </w:rPr>
        <w:t>where,</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m:t>
            </m:r>
          </m:sub>
        </m:sSub>
      </m:oMath>
      <w:r w:rsidRPr="00072B00">
        <w:rPr>
          <w:rFonts w:ascii="Times New Roman" w:eastAsia="Times New Roman" w:hAnsi="Times New Roman"/>
          <w:sz w:val="24"/>
          <w:szCs w:val="24"/>
          <w:lang w:val="id-ID"/>
        </w:rPr>
        <w:t xml:space="preserve"> </w:t>
      </w:r>
      <w:r w:rsidRPr="00072B00">
        <w:rPr>
          <w:rFonts w:ascii="Times New Roman" w:hAnsi="Times New Roman"/>
          <w:sz w:val="24"/>
          <w:szCs w:val="24"/>
          <w:lang w:val="id-ID"/>
        </w:rPr>
        <w:t>is the risk-free return rate.</w:t>
      </w:r>
    </w:p>
    <w:p w:rsidR="005553AC" w:rsidRDefault="005553AC" w:rsidP="005553AC">
      <w:pPr>
        <w:pStyle w:val="NoSpacing"/>
        <w:jc w:val="both"/>
        <w:rPr>
          <w:rFonts w:ascii="Times New Roman" w:hAnsi="Times New Roman"/>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 xml:space="preserve">A higher Sharpe </w:t>
      </w:r>
      <w:r>
        <w:rPr>
          <w:rFonts w:ascii="Times New Roman" w:hAnsi="Times New Roman"/>
          <w:sz w:val="24"/>
          <w:szCs w:val="24"/>
          <w:lang w:val="id-ID"/>
        </w:rPr>
        <w:t>R</w:t>
      </w:r>
      <w:r w:rsidRPr="00072B00">
        <w:rPr>
          <w:rFonts w:ascii="Times New Roman" w:hAnsi="Times New Roman"/>
          <w:sz w:val="24"/>
          <w:szCs w:val="24"/>
          <w:lang w:val="id-ID"/>
        </w:rPr>
        <w:t>atio is good, and a lower one is bad.  When choosing between two alternatives, the Sharpe Ratio criterion is therefore to choose the one with the higher Sharpe Ratio (Down, 2000).</w:t>
      </w:r>
    </w:p>
    <w:p w:rsidR="005553AC" w:rsidRPr="00072B00" w:rsidRDefault="005553AC" w:rsidP="005553AC">
      <w:pPr>
        <w:pStyle w:val="NoSpacing"/>
        <w:jc w:val="both"/>
        <w:rPr>
          <w:rFonts w:ascii="Times New Roman" w:hAnsi="Times New Roman"/>
          <w:sz w:val="24"/>
          <w:szCs w:val="24"/>
          <w:lang w:val="id-ID"/>
        </w:rPr>
      </w:pP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The Modification of Sharpe's Ratio</w:t>
      </w:r>
    </w:p>
    <w:p w:rsidR="005553AC" w:rsidRPr="00072B00" w:rsidRDefault="005553AC" w:rsidP="005553AC">
      <w:pPr>
        <w:pStyle w:val="NoSpacing"/>
        <w:jc w:val="both"/>
        <w:rPr>
          <w:rFonts w:ascii="Times New Roman" w:hAnsi="Times New Roman"/>
          <w:b/>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Based on equation (8), Sharpe Ratio (</w:t>
      </w:r>
      <m:oMath>
        <m:r>
          <w:rPr>
            <w:rFonts w:ascii="Cambria Math" w:hAnsi="Cambria Math"/>
            <w:sz w:val="24"/>
            <w:szCs w:val="24"/>
            <w:lang w:val="id-ID"/>
          </w:rPr>
          <m:t>SR</m:t>
        </m:r>
      </m:oMath>
      <w:r>
        <w:rPr>
          <w:rFonts w:ascii="Times New Roman" w:hAnsi="Times New Roman"/>
          <w:sz w:val="24"/>
          <w:szCs w:val="24"/>
          <w:lang w:val="id-ID"/>
        </w:rPr>
        <w:t>) consists of three</w:t>
      </w:r>
      <w:r w:rsidRPr="00072B00">
        <w:rPr>
          <w:rFonts w:ascii="Times New Roman" w:hAnsi="Times New Roman"/>
          <w:sz w:val="24"/>
          <w:szCs w:val="24"/>
          <w:lang w:val="id-ID"/>
        </w:rPr>
        <w:t xml:space="preserve"> components, namely the mean return of portfolio (stock) (</w:t>
      </w:r>
      <m:oMath>
        <m:acc>
          <m:accPr>
            <m:chr m:val="̅"/>
            <m:ctrlPr>
              <w:rPr>
                <w:rFonts w:ascii="Cambria Math" w:eastAsia="Times New Roman" w:hAnsi="Cambria Math"/>
                <w:i/>
                <w:sz w:val="24"/>
                <w:szCs w:val="24"/>
              </w:rPr>
            </m:ctrlPr>
          </m:accPr>
          <m:e>
            <m:r>
              <w:rPr>
                <w:rFonts w:ascii="Cambria Math" w:eastAsia="Times New Roman" w:hAnsi="Cambria Math"/>
                <w:sz w:val="24"/>
                <w:szCs w:val="24"/>
              </w:rPr>
              <m:t>R</m:t>
            </m:r>
          </m:e>
        </m:acc>
        <m:r>
          <w:rPr>
            <w:rFonts w:ascii="Cambria Math" w:eastAsia="Times New Roman" w:hAnsi="Cambria Math"/>
            <w:sz w:val="24"/>
            <w:szCs w:val="24"/>
          </w:rPr>
          <m:t>)</m:t>
        </m:r>
      </m:oMath>
      <w:r w:rsidRPr="00072B00">
        <w:rPr>
          <w:rFonts w:ascii="Times New Roman" w:eastAsia="Times New Roman" w:hAnsi="Times New Roman"/>
          <w:sz w:val="24"/>
          <w:szCs w:val="24"/>
          <w:lang w:val="id-ID"/>
        </w:rPr>
        <w:t xml:space="preserve">, </w:t>
      </w:r>
      <w:r w:rsidRPr="00072B00">
        <w:rPr>
          <w:rFonts w:ascii="Times New Roman" w:hAnsi="Times New Roman"/>
          <w:sz w:val="24"/>
          <w:szCs w:val="24"/>
          <w:lang w:val="id-ID"/>
        </w:rPr>
        <w:t>risk-free return rate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m:t>
            </m:r>
          </m:sub>
        </m:sSub>
      </m:oMath>
      <w:r w:rsidRPr="00072B00">
        <w:rPr>
          <w:rFonts w:ascii="Times New Roman" w:hAnsi="Times New Roman"/>
          <w:sz w:val="24"/>
          <w:szCs w:val="24"/>
          <w:lang w:val="id-ID"/>
        </w:rPr>
        <w:t xml:space="preserve">) which is commonly measured using interest rates, and portfolio (stock) </w:t>
      </w:r>
      <w:r w:rsidRPr="00072B00">
        <w:rPr>
          <w:rFonts w:ascii="Times New Roman" w:eastAsia="Times New Roman" w:hAnsi="Times New Roman"/>
          <w:sz w:val="24"/>
          <w:szCs w:val="24"/>
          <w:lang w:val="id-ID"/>
        </w:rPr>
        <w:t>variability or risk expressed as standard deviations</w:t>
      </w:r>
      <w:r w:rsidRPr="00072B00">
        <w:rPr>
          <w:rFonts w:ascii="Times New Roman" w:hAnsi="Times New Roman"/>
          <w:sz w:val="24"/>
          <w:szCs w:val="24"/>
          <w:lang w:val="id-ID"/>
        </w:rPr>
        <w:t xml:space="preserve"> (</w:t>
      </w:r>
      <m:oMath>
        <m:r>
          <w:rPr>
            <w:rFonts w:ascii="Cambria Math" w:hAnsi="Cambria Math"/>
            <w:sz w:val="24"/>
            <w:szCs w:val="24"/>
          </w:rPr>
          <m:t>σ</m:t>
        </m:r>
      </m:oMath>
      <w:r w:rsidRPr="00072B00">
        <w:rPr>
          <w:rFonts w:ascii="Times New Roman" w:hAnsi="Times New Roman"/>
          <w:sz w:val="24"/>
          <w:szCs w:val="24"/>
          <w:lang w:val="id-ID"/>
        </w:rPr>
        <w:t>). Down (2000) using VaR instead of standard deviation as a  risk measure. VaR can work, when returns are close to normally distributed or not too close to normally distributed. And Modified Sharpe Ratio (</w:t>
      </w:r>
      <m:oMath>
        <m:r>
          <w:rPr>
            <w:rFonts w:ascii="Cambria Math" w:hAnsi="Cambria Math"/>
            <w:sz w:val="24"/>
            <w:szCs w:val="24"/>
          </w:rPr>
          <m:t>MSR</m:t>
        </m:r>
      </m:oMath>
      <w:r w:rsidRPr="00072B00">
        <w:rPr>
          <w:rFonts w:ascii="Times New Roman" w:hAnsi="Times New Roman"/>
          <w:sz w:val="24"/>
          <w:szCs w:val="24"/>
          <w:lang w:val="id-ID"/>
        </w:rPr>
        <w:t>) with interest rates can be expressed as:</w:t>
      </w:r>
    </w:p>
    <w:tbl>
      <w:tblPr>
        <w:tblW w:w="6851" w:type="dxa"/>
        <w:tblInd w:w="817" w:type="dxa"/>
        <w:tblLook w:val="04A0"/>
      </w:tblPr>
      <w:tblGrid>
        <w:gridCol w:w="5688"/>
        <w:gridCol w:w="1163"/>
      </w:tblGrid>
      <w:tr w:rsidR="005553AC" w:rsidRPr="00B310E9" w:rsidTr="005553AC">
        <w:trPr>
          <w:trHeight w:val="784"/>
        </w:trPr>
        <w:tc>
          <w:tcPr>
            <w:tcW w:w="5688" w:type="dxa"/>
            <w:vAlign w:val="center"/>
          </w:tcPr>
          <w:p w:rsidR="005553AC" w:rsidRPr="00B310E9" w:rsidRDefault="005553AC" w:rsidP="00386E5B">
            <w:pPr>
              <w:pStyle w:val="NoSpacing"/>
              <w:jc w:val="center"/>
              <w:rPr>
                <w:rFonts w:ascii="Times New Roman" w:hAnsi="Times New Roman"/>
                <w:i/>
                <w:sz w:val="24"/>
                <w:szCs w:val="24"/>
                <w:lang w:val="id-ID"/>
              </w:rPr>
            </w:pPr>
            <w:r>
              <w:rPr>
                <w:rFonts w:ascii="Times New Roman" w:hAnsi="Times New Roman"/>
                <w:i/>
                <w:noProof/>
                <w:sz w:val="24"/>
                <w:szCs w:val="24"/>
                <w:lang w:val="id-ID" w:eastAsia="id-ID"/>
              </w:rPr>
              <w:drawing>
                <wp:inline distT="0" distB="0" distL="0" distR="0">
                  <wp:extent cx="1419860" cy="441325"/>
                  <wp:effectExtent l="19050" t="0" r="8890" b="0"/>
                  <wp:docPr id="7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1419860" cy="441325"/>
                          </a:xfrm>
                          <a:prstGeom prst="rect">
                            <a:avLst/>
                          </a:prstGeom>
                          <a:noFill/>
                          <a:ln w="9525">
                            <a:noFill/>
                            <a:miter lim="800000"/>
                            <a:headEnd/>
                            <a:tailEnd/>
                          </a:ln>
                        </pic:spPr>
                      </pic:pic>
                    </a:graphicData>
                  </a:graphic>
                </wp:inline>
              </w:drawing>
            </w:r>
          </w:p>
        </w:tc>
        <w:tc>
          <w:tcPr>
            <w:tcW w:w="1163" w:type="dxa"/>
            <w:vAlign w:val="center"/>
          </w:tcPr>
          <w:p w:rsidR="005553AC" w:rsidRPr="00B310E9" w:rsidRDefault="005553AC" w:rsidP="00386E5B">
            <w:pPr>
              <w:pStyle w:val="NoSpacing"/>
              <w:jc w:val="right"/>
              <w:rPr>
                <w:rFonts w:ascii="Times New Roman" w:hAnsi="Times New Roman"/>
                <w:sz w:val="24"/>
                <w:szCs w:val="24"/>
              </w:rPr>
            </w:pPr>
            <w:r w:rsidRPr="00B310E9">
              <w:rPr>
                <w:rFonts w:ascii="Times New Roman" w:hAnsi="Times New Roman"/>
                <w:sz w:val="24"/>
                <w:szCs w:val="24"/>
              </w:rPr>
              <w:t>(</w:t>
            </w:r>
            <w:r w:rsidRPr="00B310E9">
              <w:rPr>
                <w:rFonts w:ascii="Times New Roman" w:hAnsi="Times New Roman"/>
                <w:sz w:val="24"/>
                <w:szCs w:val="24"/>
                <w:lang w:val="id-ID"/>
              </w:rPr>
              <w:t>9</w:t>
            </w:r>
            <w:r w:rsidRPr="00B310E9">
              <w:rPr>
                <w:rFonts w:ascii="Times New Roman" w:hAnsi="Times New Roman"/>
                <w:sz w:val="24"/>
                <w:szCs w:val="24"/>
              </w:rPr>
              <w:t>)</w:t>
            </w:r>
          </w:p>
        </w:tc>
      </w:tr>
    </w:tbl>
    <w:p w:rsidR="005553AC" w:rsidRPr="00072B00" w:rsidRDefault="005553AC" w:rsidP="005553AC">
      <w:pPr>
        <w:pStyle w:val="NoSpacing"/>
        <w:ind w:firstLine="720"/>
        <w:jc w:val="both"/>
        <w:rPr>
          <w:rFonts w:ascii="Times New Roman" w:hAnsi="Times New Roman"/>
          <w:sz w:val="24"/>
          <w:szCs w:val="24"/>
          <w:lang w:val="id-ID"/>
        </w:rPr>
      </w:pPr>
    </w:p>
    <w:p w:rsidR="005553AC" w:rsidRPr="005553AC"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Modification of the Sharpe Ratio (</w:t>
      </w:r>
      <m:oMath>
        <m:sSub>
          <m:sSubPr>
            <m:ctrlPr>
              <w:rPr>
                <w:rFonts w:ascii="Cambria Math" w:hAnsi="Cambria Math"/>
                <w:i/>
                <w:sz w:val="24"/>
                <w:szCs w:val="24"/>
              </w:rPr>
            </m:ctrlPr>
          </m:sSubPr>
          <m:e>
            <m:r>
              <w:rPr>
                <w:rFonts w:ascii="Cambria Math" w:hAnsi="Cambria Math"/>
                <w:sz w:val="24"/>
                <w:szCs w:val="24"/>
              </w:rPr>
              <m:t>MSR</m:t>
            </m:r>
          </m:e>
          <m:sub>
            <m:r>
              <w:rPr>
                <w:rFonts w:ascii="Cambria Math" w:hAnsi="Cambria Math"/>
                <w:sz w:val="24"/>
                <w:szCs w:val="24"/>
              </w:rPr>
              <m:t>RF</m:t>
            </m:r>
          </m:sub>
        </m:sSub>
      </m:oMath>
      <w:r w:rsidRPr="00072B00">
        <w:rPr>
          <w:rFonts w:ascii="Times New Roman" w:hAnsi="Times New Roman"/>
          <w:sz w:val="24"/>
          <w:szCs w:val="24"/>
          <w:lang w:val="id-ID"/>
        </w:rPr>
        <w:t xml:space="preserve">)  </w:t>
      </w:r>
      <w:r w:rsidRPr="005553AC">
        <w:rPr>
          <w:rFonts w:ascii="Times New Roman" w:hAnsi="Times New Roman"/>
          <w:sz w:val="24"/>
          <w:szCs w:val="24"/>
          <w:lang w:val="id-ID"/>
        </w:rPr>
        <w:t>in equation (9) still contains interest rates. In order not to conflict with the concept of Islamic finance, interest rates are replaced by four approaches, namely: eliminating variable interest rates, replacing zakah rates, replacing with inflation, and replacing with the gross domestic product (GDP).</w:t>
      </w:r>
    </w:p>
    <w:p w:rsidR="005553AC" w:rsidRPr="005553AC" w:rsidRDefault="005553AC" w:rsidP="005553AC">
      <w:pPr>
        <w:pStyle w:val="NoSpacing"/>
        <w:jc w:val="both"/>
        <w:rPr>
          <w:rFonts w:ascii="Times New Roman" w:hAnsi="Times New Roman"/>
          <w:sz w:val="24"/>
          <w:szCs w:val="24"/>
          <w:lang w:val="id-ID"/>
        </w:rPr>
      </w:pPr>
      <w:r w:rsidRPr="005553AC">
        <w:rPr>
          <w:rFonts w:ascii="Times New Roman" w:hAnsi="Times New Roman"/>
          <w:sz w:val="24"/>
          <w:szCs w:val="24"/>
          <w:lang w:val="id-ID"/>
        </w:rPr>
        <w:t xml:space="preserve">Then obtained four new modifications of </w:t>
      </w:r>
      <w:r w:rsidR="002D5CC1">
        <w:rPr>
          <w:rFonts w:ascii="Times New Roman" w:hAnsi="Times New Roman"/>
          <w:sz w:val="24"/>
          <w:szCs w:val="24"/>
          <w:lang w:val="id-ID"/>
        </w:rPr>
        <w:t xml:space="preserve">the </w:t>
      </w:r>
      <w:r w:rsidRPr="005553AC">
        <w:rPr>
          <w:rFonts w:ascii="Times New Roman" w:hAnsi="Times New Roman"/>
          <w:sz w:val="24"/>
          <w:szCs w:val="24"/>
          <w:lang w:val="id-ID"/>
        </w:rPr>
        <w:t>Sharpe Ratio, namely: the modification of Sharpe Ratio without interest rate (</w:t>
      </w:r>
      <m:oMath>
        <m:sSub>
          <m:sSubPr>
            <m:ctrlPr>
              <w:rPr>
                <w:rFonts w:ascii="Cambria Math" w:hAnsi="Times New Roman"/>
                <w:i/>
                <w:sz w:val="24"/>
                <w:szCs w:val="24"/>
              </w:rPr>
            </m:ctrlPr>
          </m:sSubPr>
          <m:e>
            <m:r>
              <w:rPr>
                <w:rFonts w:ascii="Cambria Math" w:hAnsi="Cambria Math"/>
                <w:sz w:val="24"/>
                <w:szCs w:val="24"/>
              </w:rPr>
              <m:t>MSR</m:t>
            </m:r>
          </m:e>
          <m:sub>
            <m:r>
              <w:rPr>
                <w:rFonts w:ascii="Cambria Math" w:hAnsi="Cambria Math"/>
                <w:sz w:val="24"/>
                <w:szCs w:val="24"/>
              </w:rPr>
              <m:t>NRF</m:t>
            </m:r>
          </m:sub>
        </m:sSub>
      </m:oMath>
      <w:r w:rsidRPr="005553AC">
        <w:rPr>
          <w:rFonts w:ascii="Times New Roman" w:hAnsi="Times New Roman"/>
          <w:sz w:val="24"/>
          <w:szCs w:val="24"/>
          <w:lang w:val="id-ID"/>
        </w:rPr>
        <w:t>) (equation 10), the modification of Sharpe Ratio  with zakah rate (</w:t>
      </w:r>
      <m:oMath>
        <m:sSub>
          <m:sSubPr>
            <m:ctrlPr>
              <w:rPr>
                <w:rFonts w:ascii="Cambria Math" w:hAnsi="Times New Roman"/>
                <w:i/>
                <w:sz w:val="24"/>
                <w:szCs w:val="24"/>
              </w:rPr>
            </m:ctrlPr>
          </m:sSubPr>
          <m:e>
            <m:r>
              <w:rPr>
                <w:rFonts w:ascii="Cambria Math" w:hAnsi="Cambria Math"/>
                <w:sz w:val="24"/>
                <w:szCs w:val="24"/>
              </w:rPr>
              <m:t>MSR</m:t>
            </m:r>
          </m:e>
          <m:sub>
            <m:r>
              <w:rPr>
                <w:rFonts w:ascii="Cambria Math" w:hAnsi="Cambria Math"/>
                <w:sz w:val="24"/>
                <w:szCs w:val="24"/>
              </w:rPr>
              <m:t>ZR</m:t>
            </m:r>
          </m:sub>
        </m:sSub>
      </m:oMath>
      <w:r w:rsidRPr="005553AC">
        <w:rPr>
          <w:rFonts w:ascii="Times New Roman" w:hAnsi="Times New Roman"/>
          <w:sz w:val="24"/>
          <w:szCs w:val="24"/>
          <w:lang w:val="id-ID"/>
        </w:rPr>
        <w:t>) (equation 11), the modification of Sharpe Ratio with inflation (</w:t>
      </w:r>
      <m:oMath>
        <m:sSub>
          <m:sSubPr>
            <m:ctrlPr>
              <w:rPr>
                <w:rFonts w:ascii="Cambria Math" w:hAnsi="Times New Roman"/>
                <w:i/>
                <w:sz w:val="24"/>
                <w:szCs w:val="24"/>
              </w:rPr>
            </m:ctrlPr>
          </m:sSubPr>
          <m:e>
            <m:r>
              <w:rPr>
                <w:rFonts w:ascii="Cambria Math" w:hAnsi="Cambria Math"/>
                <w:sz w:val="24"/>
                <w:szCs w:val="24"/>
              </w:rPr>
              <m:t>MSR</m:t>
            </m:r>
          </m:e>
          <m:sub>
            <m:r>
              <w:rPr>
                <w:rFonts w:ascii="Cambria Math" w:hAnsi="Cambria Math"/>
                <w:sz w:val="24"/>
                <w:szCs w:val="24"/>
              </w:rPr>
              <m:t>INF</m:t>
            </m:r>
          </m:sub>
        </m:sSub>
      </m:oMath>
      <w:r w:rsidRPr="005553AC">
        <w:rPr>
          <w:rFonts w:ascii="Times New Roman" w:hAnsi="Times New Roman"/>
          <w:sz w:val="24"/>
          <w:szCs w:val="24"/>
          <w:lang w:val="id-ID"/>
        </w:rPr>
        <w:t>) (equation 12), and the modification of Sharpe Ratio with gross domestic product (</w:t>
      </w:r>
      <m:oMath>
        <m:sSub>
          <m:sSubPr>
            <m:ctrlPr>
              <w:rPr>
                <w:rFonts w:ascii="Cambria Math" w:hAnsi="Times New Roman"/>
                <w:i/>
                <w:sz w:val="24"/>
                <w:szCs w:val="24"/>
              </w:rPr>
            </m:ctrlPr>
          </m:sSubPr>
          <m:e>
            <m:r>
              <w:rPr>
                <w:rFonts w:ascii="Cambria Math" w:hAnsi="Cambria Math"/>
                <w:sz w:val="24"/>
                <w:szCs w:val="24"/>
              </w:rPr>
              <m:t>MSR</m:t>
            </m:r>
          </m:e>
          <m:sub>
            <m:r>
              <w:rPr>
                <w:rFonts w:ascii="Cambria Math" w:hAnsi="Cambria Math"/>
                <w:sz w:val="24"/>
                <w:szCs w:val="24"/>
              </w:rPr>
              <m:t>GDP</m:t>
            </m:r>
          </m:sub>
        </m:sSub>
      </m:oMath>
      <w:r w:rsidRPr="005553AC">
        <w:rPr>
          <w:rFonts w:ascii="Times New Roman" w:hAnsi="Times New Roman"/>
          <w:sz w:val="24"/>
          <w:szCs w:val="24"/>
          <w:lang w:val="id-ID"/>
        </w:rPr>
        <w:t>) (equation 13).</w:t>
      </w:r>
    </w:p>
    <w:p w:rsidR="005553AC" w:rsidRPr="005553AC" w:rsidRDefault="005553AC" w:rsidP="005553AC">
      <w:pPr>
        <w:pStyle w:val="NoSpacing"/>
        <w:jc w:val="both"/>
        <w:rPr>
          <w:rFonts w:ascii="Times New Roman" w:hAnsi="Times New Roman"/>
          <w:sz w:val="24"/>
          <w:szCs w:val="24"/>
          <w:lang w:val="id-ID"/>
        </w:rPr>
      </w:pPr>
    </w:p>
    <w:tbl>
      <w:tblPr>
        <w:tblW w:w="6941" w:type="dxa"/>
        <w:tblInd w:w="817" w:type="dxa"/>
        <w:tblLook w:val="04A0"/>
      </w:tblPr>
      <w:tblGrid>
        <w:gridCol w:w="5331"/>
        <w:gridCol w:w="1610"/>
      </w:tblGrid>
      <w:tr w:rsidR="005553AC" w:rsidRPr="005553AC" w:rsidTr="005553AC">
        <w:trPr>
          <w:trHeight w:val="834"/>
        </w:trPr>
        <w:tc>
          <w:tcPr>
            <w:tcW w:w="5331" w:type="dxa"/>
            <w:vAlign w:val="center"/>
          </w:tcPr>
          <w:p w:rsidR="005553AC" w:rsidRPr="005553AC" w:rsidRDefault="005553AC" w:rsidP="00386E5B">
            <w:pPr>
              <w:pStyle w:val="NoSpacing"/>
              <w:jc w:val="center"/>
              <w:rPr>
                <w:rFonts w:ascii="Times New Roman" w:hAnsi="Times New Roman"/>
                <w:sz w:val="24"/>
                <w:szCs w:val="24"/>
                <w:lang w:val="id-ID"/>
              </w:rPr>
            </w:pPr>
            <w:r w:rsidRPr="005553AC">
              <w:rPr>
                <w:rFonts w:ascii="Times New Roman" w:hAnsi="Times New Roman"/>
                <w:sz w:val="24"/>
                <w:szCs w:val="24"/>
                <w:lang w:val="id-ID"/>
              </w:rPr>
              <w:t xml:space="preserve">   </w:t>
            </w:r>
            <w:r w:rsidRPr="005553AC">
              <w:rPr>
                <w:rFonts w:ascii="Times New Roman" w:hAnsi="Times New Roman"/>
                <w:noProof/>
                <w:sz w:val="24"/>
                <w:szCs w:val="24"/>
                <w:lang w:val="id-ID" w:eastAsia="id-ID"/>
              </w:rPr>
              <w:drawing>
                <wp:inline distT="0" distB="0" distL="0" distR="0">
                  <wp:extent cx="1473835" cy="430530"/>
                  <wp:effectExtent l="19050" t="0" r="0" b="0"/>
                  <wp:docPr id="8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1473835" cy="430530"/>
                          </a:xfrm>
                          <a:prstGeom prst="rect">
                            <a:avLst/>
                          </a:prstGeom>
                          <a:noFill/>
                          <a:ln w="9525">
                            <a:noFill/>
                            <a:miter lim="800000"/>
                            <a:headEnd/>
                            <a:tailEnd/>
                          </a:ln>
                        </pic:spPr>
                      </pic:pic>
                    </a:graphicData>
                  </a:graphic>
                </wp:inline>
              </w:drawing>
            </w:r>
          </w:p>
        </w:tc>
        <w:tc>
          <w:tcPr>
            <w:tcW w:w="1610" w:type="dxa"/>
            <w:vAlign w:val="center"/>
          </w:tcPr>
          <w:p w:rsidR="005553AC" w:rsidRPr="005553AC" w:rsidRDefault="005553AC" w:rsidP="00386E5B">
            <w:pPr>
              <w:pStyle w:val="NoSpacing"/>
              <w:jc w:val="right"/>
              <w:rPr>
                <w:rFonts w:ascii="Times New Roman" w:hAnsi="Times New Roman"/>
                <w:sz w:val="24"/>
                <w:szCs w:val="24"/>
              </w:rPr>
            </w:pPr>
            <w:r w:rsidRPr="005553AC">
              <w:rPr>
                <w:rFonts w:ascii="Times New Roman" w:hAnsi="Times New Roman"/>
                <w:sz w:val="24"/>
                <w:szCs w:val="24"/>
              </w:rPr>
              <w:t>(</w:t>
            </w:r>
            <w:r w:rsidRPr="005553AC">
              <w:rPr>
                <w:rFonts w:ascii="Times New Roman" w:hAnsi="Times New Roman"/>
                <w:sz w:val="24"/>
                <w:szCs w:val="24"/>
                <w:lang w:val="id-ID"/>
              </w:rPr>
              <w:t>10</w:t>
            </w:r>
            <w:r w:rsidRPr="005553AC">
              <w:rPr>
                <w:rFonts w:ascii="Times New Roman" w:hAnsi="Times New Roman"/>
                <w:sz w:val="24"/>
                <w:szCs w:val="24"/>
              </w:rPr>
              <w:t>)</w:t>
            </w:r>
          </w:p>
        </w:tc>
      </w:tr>
      <w:tr w:rsidR="005553AC" w:rsidRPr="005553AC" w:rsidTr="005553AC">
        <w:trPr>
          <w:trHeight w:val="846"/>
        </w:trPr>
        <w:tc>
          <w:tcPr>
            <w:tcW w:w="5331" w:type="dxa"/>
            <w:vAlign w:val="center"/>
          </w:tcPr>
          <w:p w:rsidR="005553AC" w:rsidRPr="005553AC" w:rsidRDefault="005553AC" w:rsidP="00386E5B">
            <w:pPr>
              <w:pStyle w:val="NoSpacing"/>
              <w:jc w:val="center"/>
              <w:rPr>
                <w:rFonts w:ascii="Times New Roman" w:hAnsi="Times New Roman"/>
                <w:sz w:val="24"/>
                <w:szCs w:val="24"/>
                <w:lang w:val="id-ID"/>
              </w:rPr>
            </w:pPr>
            <w:r w:rsidRPr="005553AC">
              <w:rPr>
                <w:rFonts w:ascii="Times New Roman" w:hAnsi="Times New Roman"/>
                <w:noProof/>
                <w:sz w:val="24"/>
                <w:szCs w:val="24"/>
                <w:lang w:val="id-ID" w:eastAsia="id-ID"/>
              </w:rPr>
              <w:drawing>
                <wp:inline distT="0" distB="0" distL="0" distR="0">
                  <wp:extent cx="1527810" cy="430530"/>
                  <wp:effectExtent l="19050" t="0" r="0" b="0"/>
                  <wp:docPr id="8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a:stretch>
                            <a:fillRect/>
                          </a:stretch>
                        </pic:blipFill>
                        <pic:spPr bwMode="auto">
                          <a:xfrm>
                            <a:off x="0" y="0"/>
                            <a:ext cx="1527810" cy="430530"/>
                          </a:xfrm>
                          <a:prstGeom prst="rect">
                            <a:avLst/>
                          </a:prstGeom>
                          <a:noFill/>
                          <a:ln w="9525">
                            <a:noFill/>
                            <a:miter lim="800000"/>
                            <a:headEnd/>
                            <a:tailEnd/>
                          </a:ln>
                        </pic:spPr>
                      </pic:pic>
                    </a:graphicData>
                  </a:graphic>
                </wp:inline>
              </w:drawing>
            </w:r>
          </w:p>
        </w:tc>
        <w:tc>
          <w:tcPr>
            <w:tcW w:w="1610" w:type="dxa"/>
            <w:vAlign w:val="center"/>
          </w:tcPr>
          <w:p w:rsidR="005553AC" w:rsidRPr="005553AC" w:rsidRDefault="005553AC" w:rsidP="00386E5B">
            <w:pPr>
              <w:pStyle w:val="NoSpacing"/>
              <w:jc w:val="right"/>
              <w:rPr>
                <w:rFonts w:ascii="Times New Roman" w:hAnsi="Times New Roman"/>
                <w:sz w:val="24"/>
                <w:szCs w:val="24"/>
              </w:rPr>
            </w:pPr>
            <w:r w:rsidRPr="005553AC">
              <w:rPr>
                <w:rFonts w:ascii="Times New Roman" w:hAnsi="Times New Roman"/>
                <w:sz w:val="24"/>
                <w:szCs w:val="24"/>
              </w:rPr>
              <w:t>(</w:t>
            </w:r>
            <w:r w:rsidRPr="005553AC">
              <w:rPr>
                <w:rFonts w:ascii="Times New Roman" w:hAnsi="Times New Roman"/>
                <w:sz w:val="24"/>
                <w:szCs w:val="24"/>
                <w:lang w:val="id-ID"/>
              </w:rPr>
              <w:t>11</w:t>
            </w:r>
            <w:r w:rsidRPr="005553AC">
              <w:rPr>
                <w:rFonts w:ascii="Times New Roman" w:hAnsi="Times New Roman"/>
                <w:sz w:val="24"/>
                <w:szCs w:val="24"/>
              </w:rPr>
              <w:t>)</w:t>
            </w:r>
          </w:p>
        </w:tc>
      </w:tr>
      <w:tr w:rsidR="005553AC" w:rsidRPr="005553AC" w:rsidTr="005553AC">
        <w:trPr>
          <w:trHeight w:val="858"/>
        </w:trPr>
        <w:tc>
          <w:tcPr>
            <w:tcW w:w="5331" w:type="dxa"/>
            <w:vAlign w:val="center"/>
          </w:tcPr>
          <w:p w:rsidR="005553AC" w:rsidRPr="005553AC" w:rsidRDefault="005553AC" w:rsidP="00386E5B">
            <w:pPr>
              <w:pStyle w:val="NoSpacing"/>
              <w:jc w:val="center"/>
              <w:rPr>
                <w:rFonts w:ascii="Times New Roman" w:hAnsi="Times New Roman"/>
                <w:sz w:val="24"/>
                <w:szCs w:val="24"/>
                <w:lang w:val="id-ID"/>
              </w:rPr>
            </w:pPr>
            <w:r w:rsidRPr="005553AC">
              <w:rPr>
                <w:rFonts w:ascii="Times New Roman" w:hAnsi="Times New Roman"/>
                <w:noProof/>
                <w:sz w:val="24"/>
                <w:szCs w:val="24"/>
                <w:lang w:val="id-ID" w:eastAsia="id-ID"/>
              </w:rPr>
              <w:drawing>
                <wp:inline distT="0" distB="0" distL="0" distR="0">
                  <wp:extent cx="1538605" cy="441325"/>
                  <wp:effectExtent l="19050" t="0" r="4445" b="0"/>
                  <wp:docPr id="8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srcRect/>
                          <a:stretch>
                            <a:fillRect/>
                          </a:stretch>
                        </pic:blipFill>
                        <pic:spPr bwMode="auto">
                          <a:xfrm>
                            <a:off x="0" y="0"/>
                            <a:ext cx="1538605" cy="441325"/>
                          </a:xfrm>
                          <a:prstGeom prst="rect">
                            <a:avLst/>
                          </a:prstGeom>
                          <a:noFill/>
                          <a:ln w="9525">
                            <a:noFill/>
                            <a:miter lim="800000"/>
                            <a:headEnd/>
                            <a:tailEnd/>
                          </a:ln>
                        </pic:spPr>
                      </pic:pic>
                    </a:graphicData>
                  </a:graphic>
                </wp:inline>
              </w:drawing>
            </w:r>
          </w:p>
        </w:tc>
        <w:tc>
          <w:tcPr>
            <w:tcW w:w="1610" w:type="dxa"/>
            <w:vAlign w:val="center"/>
          </w:tcPr>
          <w:p w:rsidR="005553AC" w:rsidRPr="005553AC" w:rsidRDefault="005553AC" w:rsidP="00386E5B">
            <w:pPr>
              <w:pStyle w:val="NoSpacing"/>
              <w:jc w:val="right"/>
              <w:rPr>
                <w:rFonts w:ascii="Times New Roman" w:hAnsi="Times New Roman"/>
                <w:sz w:val="24"/>
                <w:szCs w:val="24"/>
              </w:rPr>
            </w:pPr>
            <w:r w:rsidRPr="005553AC">
              <w:rPr>
                <w:rFonts w:ascii="Times New Roman" w:hAnsi="Times New Roman"/>
                <w:sz w:val="24"/>
                <w:szCs w:val="24"/>
              </w:rPr>
              <w:t>(</w:t>
            </w:r>
            <w:r w:rsidRPr="005553AC">
              <w:rPr>
                <w:rFonts w:ascii="Times New Roman" w:hAnsi="Times New Roman"/>
                <w:sz w:val="24"/>
                <w:szCs w:val="24"/>
                <w:lang w:val="id-ID"/>
              </w:rPr>
              <w:t>12</w:t>
            </w:r>
            <w:r w:rsidRPr="005553AC">
              <w:rPr>
                <w:rFonts w:ascii="Times New Roman" w:hAnsi="Times New Roman"/>
                <w:sz w:val="24"/>
                <w:szCs w:val="24"/>
              </w:rPr>
              <w:t>)</w:t>
            </w:r>
          </w:p>
        </w:tc>
      </w:tr>
      <w:tr w:rsidR="005553AC" w:rsidRPr="005553AC" w:rsidTr="005553AC">
        <w:tc>
          <w:tcPr>
            <w:tcW w:w="5331" w:type="dxa"/>
            <w:vAlign w:val="center"/>
          </w:tcPr>
          <w:p w:rsidR="005553AC" w:rsidRPr="005553AC" w:rsidRDefault="005553AC" w:rsidP="00386E5B">
            <w:pPr>
              <w:pStyle w:val="NoSpacing"/>
              <w:jc w:val="center"/>
              <w:rPr>
                <w:rFonts w:ascii="Times New Roman" w:hAnsi="Times New Roman"/>
                <w:i/>
                <w:sz w:val="24"/>
                <w:szCs w:val="24"/>
                <w:lang w:val="id-ID"/>
              </w:rPr>
            </w:pPr>
            <w:r w:rsidRPr="005553AC">
              <w:rPr>
                <w:rFonts w:ascii="Times New Roman" w:hAnsi="Times New Roman"/>
                <w:i/>
                <w:noProof/>
                <w:sz w:val="24"/>
                <w:szCs w:val="24"/>
                <w:lang w:val="id-ID" w:eastAsia="id-ID"/>
              </w:rPr>
              <w:drawing>
                <wp:inline distT="0" distB="0" distL="0" distR="0">
                  <wp:extent cx="1635125" cy="452120"/>
                  <wp:effectExtent l="19050" t="0" r="3175" b="0"/>
                  <wp:docPr id="8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srcRect/>
                          <a:stretch>
                            <a:fillRect/>
                          </a:stretch>
                        </pic:blipFill>
                        <pic:spPr bwMode="auto">
                          <a:xfrm>
                            <a:off x="0" y="0"/>
                            <a:ext cx="1635125" cy="452120"/>
                          </a:xfrm>
                          <a:prstGeom prst="rect">
                            <a:avLst/>
                          </a:prstGeom>
                          <a:noFill/>
                          <a:ln w="9525">
                            <a:noFill/>
                            <a:miter lim="800000"/>
                            <a:headEnd/>
                            <a:tailEnd/>
                          </a:ln>
                        </pic:spPr>
                      </pic:pic>
                    </a:graphicData>
                  </a:graphic>
                </wp:inline>
              </w:drawing>
            </w:r>
          </w:p>
        </w:tc>
        <w:tc>
          <w:tcPr>
            <w:tcW w:w="1610" w:type="dxa"/>
            <w:vAlign w:val="center"/>
          </w:tcPr>
          <w:p w:rsidR="005553AC" w:rsidRPr="005553AC" w:rsidRDefault="005553AC" w:rsidP="00386E5B">
            <w:pPr>
              <w:pStyle w:val="NoSpacing"/>
              <w:jc w:val="right"/>
              <w:rPr>
                <w:rFonts w:ascii="Times New Roman" w:hAnsi="Times New Roman"/>
                <w:sz w:val="24"/>
                <w:szCs w:val="24"/>
              </w:rPr>
            </w:pPr>
            <w:r w:rsidRPr="005553AC">
              <w:rPr>
                <w:rFonts w:ascii="Times New Roman" w:hAnsi="Times New Roman"/>
                <w:sz w:val="24"/>
                <w:szCs w:val="24"/>
              </w:rPr>
              <w:t>(</w:t>
            </w:r>
            <w:r w:rsidRPr="005553AC">
              <w:rPr>
                <w:rFonts w:ascii="Times New Roman" w:hAnsi="Times New Roman"/>
                <w:sz w:val="24"/>
                <w:szCs w:val="24"/>
                <w:lang w:val="id-ID"/>
              </w:rPr>
              <w:t>13</w:t>
            </w:r>
            <w:r w:rsidRPr="005553AC">
              <w:rPr>
                <w:rFonts w:ascii="Times New Roman" w:hAnsi="Times New Roman"/>
                <w:sz w:val="24"/>
                <w:szCs w:val="24"/>
              </w:rPr>
              <w:t>)</w:t>
            </w:r>
          </w:p>
        </w:tc>
      </w:tr>
    </w:tbl>
    <w:p w:rsidR="005553AC" w:rsidRPr="005553AC" w:rsidRDefault="005553AC" w:rsidP="005553AC">
      <w:pPr>
        <w:pStyle w:val="NoSpacing"/>
        <w:ind w:firstLine="720"/>
        <w:jc w:val="both"/>
        <w:rPr>
          <w:rFonts w:ascii="Times New Roman" w:hAnsi="Times New Roman"/>
          <w:sz w:val="24"/>
          <w:szCs w:val="24"/>
          <w:lang w:val="id-ID"/>
        </w:rPr>
      </w:pPr>
    </w:p>
    <w:p w:rsidR="005553AC" w:rsidRPr="005553AC" w:rsidRDefault="005553AC" w:rsidP="005553AC">
      <w:pPr>
        <w:pStyle w:val="NoSpacing"/>
        <w:jc w:val="both"/>
        <w:rPr>
          <w:rFonts w:ascii="Times New Roman" w:hAnsi="Times New Roman"/>
          <w:sz w:val="24"/>
          <w:szCs w:val="24"/>
          <w:lang w:val="id-ID"/>
        </w:rPr>
      </w:pPr>
      <w:r w:rsidRPr="005553AC">
        <w:rPr>
          <w:rFonts w:ascii="Times New Roman" w:hAnsi="Times New Roman"/>
          <w:sz w:val="24"/>
          <w:szCs w:val="24"/>
          <w:lang w:val="id-ID"/>
        </w:rPr>
        <w:t>where,</w:t>
      </w:r>
      <w:r w:rsidRPr="005553AC">
        <w:rPr>
          <w:rFonts w:ascii="Times New Roman" w:hAnsi="Times New Roman"/>
          <w:sz w:val="24"/>
          <w:szCs w:val="24"/>
        </w:rPr>
        <w:t xml:space="preserve"> </w:t>
      </w: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Cambria Math"/>
                    <w:sz w:val="24"/>
                    <w:szCs w:val="24"/>
                  </w:rPr>
                  <m:t>R</m:t>
                </m:r>
              </m:e>
            </m:acc>
          </m:e>
          <m:sub>
            <m:r>
              <w:rPr>
                <w:rFonts w:ascii="Cambria Math" w:hAnsi="Cambria Math"/>
                <w:sz w:val="24"/>
                <w:szCs w:val="24"/>
              </w:rPr>
              <m:t>ZR</m:t>
            </m:r>
          </m:sub>
        </m:sSub>
        <m:r>
          <m:rPr>
            <m:sty m:val="p"/>
          </m:rPr>
          <w:rPr>
            <w:rFonts w:ascii="Cambria Math" w:hAnsi="Times New Roman"/>
            <w:sz w:val="24"/>
            <w:szCs w:val="24"/>
          </w:rPr>
          <m:t xml:space="preserve"> </m:t>
        </m:r>
      </m:oMath>
      <w:r w:rsidRPr="005553AC">
        <w:rPr>
          <w:rFonts w:ascii="Times New Roman" w:hAnsi="Times New Roman"/>
          <w:sz w:val="24"/>
          <w:szCs w:val="24"/>
        </w:rPr>
        <w:t xml:space="preserve"> </w:t>
      </w:r>
      <w:r w:rsidRPr="005553AC">
        <w:rPr>
          <w:rFonts w:ascii="Times New Roman" w:hAnsi="Times New Roman"/>
          <w:sz w:val="24"/>
          <w:szCs w:val="24"/>
          <w:lang w:val="id-ID"/>
        </w:rPr>
        <w:t>is</w:t>
      </w:r>
      <w:r w:rsidRPr="005553AC">
        <w:rPr>
          <w:rFonts w:ascii="Times New Roman" w:hAnsi="Times New Roman"/>
          <w:sz w:val="24"/>
          <w:szCs w:val="24"/>
        </w:rPr>
        <w:t xml:space="preserve"> Zakah Rate</w:t>
      </w:r>
      <w:r w:rsidRPr="005553AC">
        <w:rPr>
          <w:rFonts w:ascii="Times New Roman" w:hAnsi="Times New Roman"/>
          <w:sz w:val="24"/>
          <w:szCs w:val="24"/>
          <w:lang w:val="id-ID"/>
        </w:rPr>
        <w:t xml:space="preserve"> </w:t>
      </w:r>
      <w:r w:rsidRPr="005553AC">
        <w:rPr>
          <w:rStyle w:val="tlid-translation"/>
          <w:rFonts w:ascii="Times New Roman" w:hAnsi="Times New Roman"/>
          <w:sz w:val="24"/>
          <w:szCs w:val="24"/>
        </w:rPr>
        <w:t>which is equal to 2.5% / (1-2.5%) = 2.56%</w:t>
      </w:r>
      <w:r w:rsidRPr="005553AC">
        <w:rPr>
          <w:rFonts w:ascii="Times New Roman" w:hAnsi="Times New Roman"/>
          <w:sz w:val="24"/>
          <w:szCs w:val="24"/>
        </w:rPr>
        <w:t xml:space="preserve">,  </w:t>
      </w: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Cambria Math"/>
                    <w:sz w:val="24"/>
                    <w:szCs w:val="24"/>
                  </w:rPr>
                  <m:t>R</m:t>
                </m:r>
              </m:e>
            </m:acc>
          </m:e>
          <m:sub>
            <m:r>
              <w:rPr>
                <w:rFonts w:ascii="Cambria Math" w:hAnsi="Cambria Math"/>
                <w:sz w:val="24"/>
                <w:szCs w:val="24"/>
              </w:rPr>
              <m:t>INF</m:t>
            </m:r>
          </m:sub>
        </m:sSub>
        <m:r>
          <w:rPr>
            <w:rFonts w:ascii="Cambria Math" w:hAnsi="Times New Roman"/>
            <w:sz w:val="24"/>
            <w:szCs w:val="24"/>
          </w:rPr>
          <m:t xml:space="preserve"> </m:t>
        </m:r>
      </m:oMath>
      <w:r w:rsidRPr="005553AC">
        <w:rPr>
          <w:rFonts w:ascii="Times New Roman" w:hAnsi="Times New Roman"/>
          <w:sz w:val="24"/>
          <w:szCs w:val="24"/>
        </w:rPr>
        <w:t xml:space="preserve"> </w:t>
      </w:r>
      <w:r w:rsidRPr="005553AC">
        <w:rPr>
          <w:rFonts w:ascii="Times New Roman" w:hAnsi="Times New Roman"/>
          <w:sz w:val="24"/>
          <w:szCs w:val="24"/>
          <w:lang w:val="id-ID"/>
        </w:rPr>
        <w:t>is mean of inflation</w:t>
      </w:r>
      <w:r w:rsidRPr="005553AC">
        <w:rPr>
          <w:rFonts w:ascii="Times New Roman" w:hAnsi="Times New Roman"/>
          <w:sz w:val="24"/>
          <w:szCs w:val="24"/>
        </w:rPr>
        <w:t xml:space="preserve">, </w:t>
      </w:r>
      <w:r w:rsidRPr="005553AC">
        <w:rPr>
          <w:rFonts w:ascii="Times New Roman" w:hAnsi="Times New Roman"/>
          <w:sz w:val="24"/>
          <w:szCs w:val="24"/>
          <w:lang w:val="id-ID"/>
        </w:rPr>
        <w:t xml:space="preserve">and </w:t>
      </w:r>
      <w:r w:rsidRPr="005553AC">
        <w:rPr>
          <w:rFonts w:ascii="Times New Roman" w:hAnsi="Times New Roman"/>
          <w:sz w:val="24"/>
          <w:szCs w:val="24"/>
        </w:rPr>
        <w:t xml:space="preserve"> </w:t>
      </w: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Cambria Math"/>
                    <w:sz w:val="24"/>
                    <w:szCs w:val="24"/>
                  </w:rPr>
                  <m:t>R</m:t>
                </m:r>
              </m:e>
            </m:acc>
          </m:e>
          <m:sub>
            <m:r>
              <w:rPr>
                <w:rFonts w:ascii="Cambria Math" w:hAnsi="Cambria Math"/>
                <w:sz w:val="24"/>
                <w:szCs w:val="24"/>
              </w:rPr>
              <m:t>GDP</m:t>
            </m:r>
          </m:sub>
        </m:sSub>
      </m:oMath>
      <w:r w:rsidRPr="005553AC">
        <w:rPr>
          <w:rFonts w:ascii="Times New Roman" w:hAnsi="Times New Roman"/>
          <w:sz w:val="24"/>
          <w:szCs w:val="24"/>
        </w:rPr>
        <w:t xml:space="preserve"> </w:t>
      </w:r>
      <w:r w:rsidRPr="005553AC">
        <w:rPr>
          <w:rFonts w:ascii="Times New Roman" w:hAnsi="Times New Roman"/>
          <w:sz w:val="24"/>
          <w:szCs w:val="24"/>
          <w:lang w:val="id-ID"/>
        </w:rPr>
        <w:t xml:space="preserve">is </w:t>
      </w:r>
      <w:r w:rsidRPr="005553AC">
        <w:rPr>
          <w:rFonts w:ascii="Times New Roman" w:hAnsi="Times New Roman"/>
          <w:sz w:val="24"/>
          <w:szCs w:val="24"/>
        </w:rPr>
        <w:t xml:space="preserve">mean </w:t>
      </w:r>
      <w:r w:rsidRPr="005553AC">
        <w:rPr>
          <w:rFonts w:ascii="Times New Roman" w:hAnsi="Times New Roman"/>
          <w:sz w:val="24"/>
          <w:szCs w:val="24"/>
          <w:lang w:val="id-ID"/>
        </w:rPr>
        <w:t>of GDP.</w:t>
      </w:r>
    </w:p>
    <w:p w:rsidR="00EB6DDD" w:rsidRPr="005553AC" w:rsidRDefault="00EC6924" w:rsidP="00EC6924">
      <w:pPr>
        <w:pStyle w:val="ADICParagraphothers"/>
        <w:spacing w:before="100" w:beforeAutospacing="1" w:after="100" w:afterAutospacing="1" w:line="276" w:lineRule="auto"/>
        <w:rPr>
          <w:rFonts w:ascii="Times New Roman" w:hAnsi="Times New Roman"/>
          <w:b/>
          <w:sz w:val="24"/>
          <w:szCs w:val="24"/>
        </w:rPr>
      </w:pPr>
      <w:r w:rsidRPr="005553AC">
        <w:rPr>
          <w:rFonts w:ascii="Times New Roman" w:hAnsi="Times New Roman"/>
          <w:b/>
          <w:sz w:val="24"/>
          <w:szCs w:val="24"/>
        </w:rPr>
        <w:t>METHODOLOGY</w:t>
      </w:r>
    </w:p>
    <w:p w:rsidR="005553AC" w:rsidRPr="005553AC" w:rsidRDefault="005553AC" w:rsidP="005553AC">
      <w:pPr>
        <w:spacing w:after="0" w:line="240" w:lineRule="auto"/>
        <w:jc w:val="both"/>
        <w:rPr>
          <w:rStyle w:val="tlid-translation"/>
          <w:rFonts w:ascii="Times New Roman" w:hAnsi="Times New Roman" w:cs="Times New Roman"/>
          <w:sz w:val="24"/>
          <w:szCs w:val="24"/>
          <w:lang w:val="id-ID"/>
        </w:rPr>
      </w:pPr>
      <w:r w:rsidRPr="005553AC">
        <w:rPr>
          <w:rStyle w:val="tlid-translation"/>
          <w:rFonts w:ascii="Times New Roman" w:hAnsi="Times New Roman" w:cs="Times New Roman"/>
          <w:sz w:val="24"/>
          <w:szCs w:val="24"/>
        </w:rPr>
        <w:t xml:space="preserve">The data used in this study are monthly data from January 2011 - July 2018, which consists of closing prices of </w:t>
      </w:r>
      <w:r w:rsidRPr="005553AC">
        <w:rPr>
          <w:rFonts w:ascii="Times New Roman" w:hAnsi="Times New Roman" w:cs="Times New Roman"/>
          <w:bCs/>
          <w:sz w:val="24"/>
          <w:szCs w:val="24"/>
          <w:lang w:val="id-ID"/>
        </w:rPr>
        <w:t>stock</w:t>
      </w:r>
      <w:r w:rsidRPr="005553AC">
        <w:rPr>
          <w:rStyle w:val="tlid-translation"/>
          <w:rFonts w:ascii="Times New Roman" w:hAnsi="Times New Roman" w:cs="Times New Roman"/>
          <w:sz w:val="24"/>
          <w:szCs w:val="24"/>
          <w:lang w:val="id-ID"/>
        </w:rPr>
        <w:t xml:space="preserve"> </w:t>
      </w:r>
      <w:r w:rsidRPr="005553AC">
        <w:rPr>
          <w:rStyle w:val="tlid-translation"/>
          <w:rFonts w:ascii="Times New Roman" w:hAnsi="Times New Roman" w:cs="Times New Roman"/>
          <w:sz w:val="24"/>
          <w:szCs w:val="24"/>
        </w:rPr>
        <w:t>that are consistently listed in the Jakarta Islamic Index (JII) during that period, interest rates (BI-Rate), Inflation, and GDP.</w:t>
      </w:r>
    </w:p>
    <w:p w:rsidR="005553AC" w:rsidRPr="005553AC" w:rsidRDefault="005553AC" w:rsidP="005553AC">
      <w:pPr>
        <w:spacing w:after="0" w:line="240" w:lineRule="auto"/>
        <w:jc w:val="both"/>
        <w:rPr>
          <w:rFonts w:ascii="Times New Roman" w:eastAsia="Times New Roman" w:hAnsi="Times New Roman" w:cs="Times New Roman"/>
          <w:bCs/>
          <w:sz w:val="24"/>
          <w:szCs w:val="24"/>
          <w:lang w:val="id-ID"/>
        </w:rPr>
      </w:pPr>
      <w:r w:rsidRPr="005553AC">
        <w:rPr>
          <w:rFonts w:ascii="Times New Roman" w:hAnsi="Times New Roman" w:cs="Times New Roman"/>
          <w:bCs/>
          <w:sz w:val="24"/>
          <w:szCs w:val="24"/>
          <w:lang w:val="id-ID"/>
        </w:rPr>
        <w:t>There are the following steps for analyzing the data:</w:t>
      </w:r>
    </w:p>
    <w:p w:rsidR="005553AC" w:rsidRPr="005553AC" w:rsidRDefault="005553AC" w:rsidP="005553AC">
      <w:pPr>
        <w:pStyle w:val="ListParagraph"/>
        <w:numPr>
          <w:ilvl w:val="0"/>
          <w:numId w:val="15"/>
        </w:numPr>
        <w:spacing w:after="0" w:line="240" w:lineRule="auto"/>
        <w:jc w:val="both"/>
        <w:rPr>
          <w:rFonts w:ascii="Times New Roman" w:hAnsi="Times New Roman"/>
          <w:bCs/>
          <w:sz w:val="24"/>
          <w:szCs w:val="24"/>
          <w:lang w:val="id-ID"/>
        </w:rPr>
      </w:pPr>
      <w:r w:rsidRPr="005553AC">
        <w:rPr>
          <w:rFonts w:ascii="Times New Roman" w:hAnsi="Times New Roman"/>
          <w:bCs/>
          <w:sz w:val="24"/>
          <w:szCs w:val="24"/>
          <w:lang w:val="id-ID"/>
        </w:rPr>
        <w:t>Calculate the monthly return of selected stock with equation (2).</w:t>
      </w:r>
    </w:p>
    <w:p w:rsidR="005553AC" w:rsidRPr="005553AC" w:rsidRDefault="005553AC" w:rsidP="005553AC">
      <w:pPr>
        <w:pStyle w:val="ListParagraph"/>
        <w:numPr>
          <w:ilvl w:val="0"/>
          <w:numId w:val="15"/>
        </w:numPr>
        <w:spacing w:after="0" w:line="240" w:lineRule="auto"/>
        <w:jc w:val="both"/>
        <w:rPr>
          <w:rFonts w:ascii="Times New Roman" w:hAnsi="Times New Roman"/>
          <w:bCs/>
          <w:sz w:val="24"/>
          <w:szCs w:val="24"/>
          <w:lang w:val="id-ID"/>
        </w:rPr>
      </w:pPr>
      <w:r w:rsidRPr="005553AC">
        <w:rPr>
          <w:rFonts w:ascii="Times New Roman" w:hAnsi="Times New Roman"/>
          <w:bCs/>
          <w:sz w:val="24"/>
          <w:szCs w:val="24"/>
          <w:lang w:val="id-ID"/>
        </w:rPr>
        <w:t>Calculate descriptive statistics of stock returns (mean, standard deviation, skewness, and kurtosis), then calculate the mean of the BI-Rate, Inflation, and GDP.</w:t>
      </w:r>
    </w:p>
    <w:p w:rsidR="005553AC" w:rsidRPr="005553AC" w:rsidRDefault="005553AC" w:rsidP="005553AC">
      <w:pPr>
        <w:pStyle w:val="ListParagraph"/>
        <w:numPr>
          <w:ilvl w:val="0"/>
          <w:numId w:val="15"/>
        </w:numPr>
        <w:spacing w:after="0" w:line="240" w:lineRule="auto"/>
        <w:jc w:val="both"/>
        <w:rPr>
          <w:rFonts w:ascii="Times New Roman" w:hAnsi="Times New Roman"/>
          <w:bCs/>
          <w:sz w:val="24"/>
          <w:szCs w:val="24"/>
          <w:lang w:val="id-ID"/>
        </w:rPr>
      </w:pPr>
      <w:r w:rsidRPr="005553AC">
        <w:rPr>
          <w:rFonts w:ascii="Times New Roman" w:hAnsi="Times New Roman"/>
          <w:bCs/>
          <w:sz w:val="24"/>
          <w:szCs w:val="24"/>
          <w:lang w:val="id-ID"/>
        </w:rPr>
        <w:t xml:space="preserve">Perform a normality test for stock return data using a 95% confidence level using the Kolmogorov–Smirnov test. If the return is normally distributed, </w:t>
      </w:r>
      <m:oMath>
        <m:sSub>
          <m:sSubPr>
            <m:ctrlPr>
              <w:rPr>
                <w:rFonts w:ascii="Cambria Math" w:hAnsi="Times New Roman"/>
                <w:i/>
                <w:sz w:val="24"/>
                <w:szCs w:val="24"/>
              </w:rPr>
            </m:ctrlPr>
          </m:sSubPr>
          <m:e>
            <m:r>
              <w:rPr>
                <w:rFonts w:ascii="Cambria Math" w:hAnsi="Cambria Math"/>
                <w:sz w:val="24"/>
                <w:szCs w:val="24"/>
              </w:rPr>
              <m:t>Z</m:t>
            </m:r>
          </m:e>
          <m:sub>
            <m:r>
              <w:rPr>
                <w:rFonts w:ascii="Cambria Math" w:hAnsi="Times New Roman"/>
                <w:sz w:val="24"/>
                <w:szCs w:val="24"/>
              </w:rPr>
              <m:t>0,95</m:t>
            </m:r>
          </m:sub>
        </m:sSub>
        <m:r>
          <w:rPr>
            <w:rFonts w:ascii="Cambria Math" w:hAnsi="Times New Roman"/>
            <w:sz w:val="24"/>
            <w:szCs w:val="24"/>
          </w:rPr>
          <m:t>=1,645</m:t>
        </m:r>
      </m:oMath>
      <w:r w:rsidRPr="005553AC">
        <w:rPr>
          <w:rFonts w:ascii="Times New Roman" w:hAnsi="Times New Roman"/>
          <w:bCs/>
          <w:sz w:val="24"/>
          <w:szCs w:val="24"/>
          <w:lang w:val="id-ID"/>
        </w:rPr>
        <w:t xml:space="preserve">, but if the data is non-normally distributed then </w:t>
      </w:r>
      <m:oMath>
        <m:sSub>
          <m:sSubPr>
            <m:ctrlPr>
              <w:rPr>
                <w:rFonts w:ascii="Cambria Math" w:hAnsi="Times New Roman"/>
                <w:i/>
                <w:sz w:val="24"/>
                <w:szCs w:val="24"/>
              </w:rPr>
            </m:ctrlPr>
          </m:sSubPr>
          <m:e>
            <m:r>
              <w:rPr>
                <w:rFonts w:ascii="Cambria Math" w:hAnsi="Cambria Math"/>
                <w:sz w:val="24"/>
                <w:szCs w:val="24"/>
              </w:rPr>
              <m:t>Z</m:t>
            </m:r>
          </m:e>
          <m:sub>
            <m:r>
              <w:rPr>
                <w:rFonts w:ascii="Cambria Math" w:hAnsi="Times New Roman"/>
                <w:sz w:val="24"/>
                <w:szCs w:val="24"/>
              </w:rPr>
              <m:t>0,95</m:t>
            </m:r>
          </m:sub>
        </m:sSub>
      </m:oMath>
      <w:r w:rsidRPr="005553AC">
        <w:rPr>
          <w:rFonts w:ascii="Times New Roman" w:hAnsi="Times New Roman"/>
          <w:bCs/>
          <w:sz w:val="24"/>
          <w:szCs w:val="24"/>
          <w:lang w:val="id-ID"/>
        </w:rPr>
        <w:t xml:space="preserve">  must be adjusted using Cornish Fisher Expansion.</w:t>
      </w:r>
    </w:p>
    <w:tbl>
      <w:tblPr>
        <w:tblW w:w="8647" w:type="dxa"/>
        <w:tblInd w:w="817" w:type="dxa"/>
        <w:tblLook w:val="04A0"/>
      </w:tblPr>
      <w:tblGrid>
        <w:gridCol w:w="5688"/>
        <w:gridCol w:w="2959"/>
      </w:tblGrid>
      <w:tr w:rsidR="005553AC" w:rsidRPr="005553AC" w:rsidTr="00386E5B">
        <w:trPr>
          <w:trHeight w:val="784"/>
        </w:trPr>
        <w:tc>
          <w:tcPr>
            <w:tcW w:w="5688" w:type="dxa"/>
            <w:vAlign w:val="center"/>
          </w:tcPr>
          <w:p w:rsidR="005553AC" w:rsidRPr="005553AC" w:rsidRDefault="005553AC" w:rsidP="00386E5B">
            <w:pPr>
              <w:pStyle w:val="NoSpacing"/>
              <w:jc w:val="center"/>
              <w:rPr>
                <w:rFonts w:ascii="Times New Roman" w:hAnsi="Times New Roman"/>
                <w:i/>
                <w:sz w:val="24"/>
                <w:szCs w:val="24"/>
                <w:lang w:val="id-ID"/>
              </w:rPr>
            </w:pPr>
            <w:r w:rsidRPr="005553AC">
              <w:rPr>
                <w:rFonts w:ascii="Times New Roman" w:hAnsi="Times New Roman"/>
                <w:i/>
                <w:sz w:val="24"/>
                <w:szCs w:val="24"/>
                <w:lang w:val="id-ID"/>
              </w:rPr>
              <w:t xml:space="preserve">       </w:t>
            </w:r>
            <w:r w:rsidRPr="005553AC">
              <w:rPr>
                <w:rFonts w:ascii="Times New Roman" w:hAnsi="Times New Roman"/>
                <w:i/>
                <w:noProof/>
                <w:sz w:val="24"/>
                <w:szCs w:val="24"/>
                <w:lang w:val="id-ID" w:eastAsia="id-ID"/>
              </w:rPr>
              <w:drawing>
                <wp:inline distT="0" distB="0" distL="0" distR="0">
                  <wp:extent cx="2033270" cy="236855"/>
                  <wp:effectExtent l="19050" t="0" r="5080" b="0"/>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srcRect/>
                          <a:stretch>
                            <a:fillRect/>
                          </a:stretch>
                        </pic:blipFill>
                        <pic:spPr bwMode="auto">
                          <a:xfrm>
                            <a:off x="0" y="0"/>
                            <a:ext cx="2033270" cy="236855"/>
                          </a:xfrm>
                          <a:prstGeom prst="rect">
                            <a:avLst/>
                          </a:prstGeom>
                          <a:noFill/>
                          <a:ln w="9525">
                            <a:noFill/>
                            <a:miter lim="800000"/>
                            <a:headEnd/>
                            <a:tailEnd/>
                          </a:ln>
                        </pic:spPr>
                      </pic:pic>
                    </a:graphicData>
                  </a:graphic>
                </wp:inline>
              </w:drawing>
            </w:r>
          </w:p>
        </w:tc>
        <w:tc>
          <w:tcPr>
            <w:tcW w:w="2959" w:type="dxa"/>
            <w:vAlign w:val="center"/>
          </w:tcPr>
          <w:p w:rsidR="005553AC" w:rsidRPr="005553AC" w:rsidRDefault="005553AC" w:rsidP="005553AC">
            <w:pPr>
              <w:pStyle w:val="NoSpacing"/>
              <w:ind w:right="1688"/>
              <w:jc w:val="right"/>
              <w:rPr>
                <w:rFonts w:ascii="Times New Roman" w:hAnsi="Times New Roman"/>
                <w:sz w:val="24"/>
                <w:szCs w:val="24"/>
              </w:rPr>
            </w:pPr>
            <w:r w:rsidRPr="005553AC">
              <w:rPr>
                <w:rFonts w:ascii="Times New Roman" w:hAnsi="Times New Roman"/>
                <w:sz w:val="24"/>
                <w:szCs w:val="24"/>
              </w:rPr>
              <w:t>(</w:t>
            </w:r>
            <w:r w:rsidRPr="005553AC">
              <w:rPr>
                <w:rFonts w:ascii="Times New Roman" w:hAnsi="Times New Roman"/>
                <w:sz w:val="24"/>
                <w:szCs w:val="24"/>
                <w:lang w:val="id-ID"/>
              </w:rPr>
              <w:t>14</w:t>
            </w:r>
            <w:r w:rsidRPr="005553AC">
              <w:rPr>
                <w:rFonts w:ascii="Times New Roman" w:hAnsi="Times New Roman"/>
                <w:sz w:val="24"/>
                <w:szCs w:val="24"/>
              </w:rPr>
              <w:t>)</w:t>
            </w:r>
          </w:p>
        </w:tc>
      </w:tr>
    </w:tbl>
    <w:p w:rsidR="005553AC" w:rsidRPr="005553AC" w:rsidRDefault="005553AC" w:rsidP="005553AC">
      <w:pPr>
        <w:pStyle w:val="ListParagraph"/>
        <w:numPr>
          <w:ilvl w:val="0"/>
          <w:numId w:val="15"/>
        </w:numPr>
        <w:spacing w:after="0" w:line="240" w:lineRule="auto"/>
        <w:jc w:val="both"/>
        <w:rPr>
          <w:rFonts w:ascii="Times New Roman" w:hAnsi="Times New Roman"/>
          <w:bCs/>
          <w:sz w:val="24"/>
          <w:szCs w:val="24"/>
          <w:lang w:val="id-ID"/>
        </w:rPr>
      </w:pPr>
      <w:r w:rsidRPr="005553AC">
        <w:rPr>
          <w:rFonts w:ascii="Times New Roman" w:hAnsi="Times New Roman"/>
          <w:bCs/>
          <w:sz w:val="24"/>
          <w:szCs w:val="24"/>
          <w:lang w:val="id-ID"/>
        </w:rPr>
        <w:t xml:space="preserve">Calculate </w:t>
      </w:r>
      <m:oMath>
        <m:sSub>
          <m:sSubPr>
            <m:ctrlPr>
              <w:rPr>
                <w:rFonts w:ascii="Cambria Math" w:hAnsi="Times New Roman"/>
                <w:i/>
                <w:sz w:val="24"/>
                <w:szCs w:val="24"/>
              </w:rPr>
            </m:ctrlPr>
          </m:sSubPr>
          <m:e>
            <m:r>
              <w:rPr>
                <w:rFonts w:ascii="Cambria Math" w:hAnsi="Cambria Math"/>
                <w:sz w:val="24"/>
                <w:szCs w:val="24"/>
              </w:rPr>
              <m:t>VaR</m:t>
            </m:r>
          </m:e>
          <m:sub>
            <m:r>
              <w:rPr>
                <w:rFonts w:ascii="Cambria Math" w:hAnsi="Cambria Math"/>
                <w:sz w:val="24"/>
                <w:szCs w:val="24"/>
              </w:rPr>
              <m:t>α</m:t>
            </m:r>
          </m:sub>
        </m:sSub>
        <m:d>
          <m:dPr>
            <m:ctrlPr>
              <w:rPr>
                <w:rFonts w:ascii="Cambria Math" w:hAnsi="Times New Roman"/>
                <w:i/>
                <w:sz w:val="24"/>
                <w:szCs w:val="24"/>
              </w:rPr>
            </m:ctrlPr>
          </m:dPr>
          <m:e>
            <m:r>
              <w:rPr>
                <w:rFonts w:ascii="Cambria Math" w:hAnsi="Cambria Math"/>
                <w:sz w:val="24"/>
                <w:szCs w:val="24"/>
              </w:rPr>
              <m:t>L</m:t>
            </m:r>
          </m:e>
        </m:d>
      </m:oMath>
      <w:r w:rsidRPr="005553AC">
        <w:rPr>
          <w:rFonts w:ascii="Times New Roman" w:hAnsi="Times New Roman"/>
          <w:bCs/>
          <w:sz w:val="24"/>
          <w:szCs w:val="24"/>
          <w:lang w:val="id-ID"/>
        </w:rPr>
        <w:t xml:space="preserve"> for the next 1 period with assuming the </w:t>
      </w:r>
      <w:r w:rsidRPr="005553AC">
        <w:rPr>
          <w:rFonts w:ascii="Times New Roman" w:hAnsi="Times New Roman"/>
          <w:sz w:val="24"/>
          <w:szCs w:val="24"/>
          <w:lang w:val="id-ID"/>
        </w:rPr>
        <w:t xml:space="preserve">total investment value </w:t>
      </w:r>
      <w:r w:rsidRPr="005553AC">
        <w:rPr>
          <w:rFonts w:ascii="Times New Roman" w:hAnsi="Times New Roman"/>
          <w:bCs/>
          <w:sz w:val="24"/>
          <w:szCs w:val="24"/>
          <w:lang w:val="id-ID"/>
        </w:rPr>
        <w:t xml:space="preserve"> are equal to 1 for each stock</w:t>
      </w:r>
    </w:p>
    <w:p w:rsidR="005553AC" w:rsidRPr="005553AC" w:rsidRDefault="005553AC" w:rsidP="005553AC">
      <w:pPr>
        <w:pStyle w:val="ListParagraph"/>
        <w:numPr>
          <w:ilvl w:val="0"/>
          <w:numId w:val="15"/>
        </w:numPr>
        <w:spacing w:after="0" w:line="240" w:lineRule="auto"/>
        <w:jc w:val="both"/>
        <w:rPr>
          <w:rFonts w:ascii="Times New Roman" w:hAnsi="Times New Roman"/>
          <w:bCs/>
          <w:sz w:val="24"/>
          <w:szCs w:val="24"/>
          <w:lang w:val="id-ID"/>
        </w:rPr>
      </w:pPr>
      <w:r w:rsidRPr="005553AC">
        <w:rPr>
          <w:rFonts w:ascii="Times New Roman" w:hAnsi="Times New Roman"/>
          <w:bCs/>
          <w:sz w:val="24"/>
          <w:szCs w:val="24"/>
          <w:lang w:val="id-ID"/>
        </w:rPr>
        <w:t>Calculate the stock performance using five modifications of the Sharpe Ratio with equations (9), (10), (11), (12), and (13), and determine the stock rank of each model.</w:t>
      </w:r>
    </w:p>
    <w:p w:rsidR="005553AC" w:rsidRPr="005553AC" w:rsidRDefault="005553AC" w:rsidP="005553AC">
      <w:pPr>
        <w:pStyle w:val="ListParagraph"/>
        <w:numPr>
          <w:ilvl w:val="0"/>
          <w:numId w:val="15"/>
        </w:numPr>
        <w:spacing w:after="0" w:line="240" w:lineRule="auto"/>
        <w:jc w:val="both"/>
        <w:rPr>
          <w:rFonts w:ascii="Times New Roman" w:hAnsi="Times New Roman"/>
          <w:bCs/>
          <w:sz w:val="24"/>
          <w:szCs w:val="24"/>
          <w:lang w:val="id-ID"/>
        </w:rPr>
      </w:pPr>
      <w:r w:rsidRPr="005553AC">
        <w:rPr>
          <w:rFonts w:ascii="Times New Roman" w:hAnsi="Times New Roman"/>
          <w:bCs/>
          <w:sz w:val="24"/>
          <w:szCs w:val="24"/>
          <w:lang w:val="id-ID"/>
        </w:rPr>
        <w:t xml:space="preserve">Perform suitability analysis of 5 (five) modifications of Sharpe Ratio using Kendall's W Concordance test. </w:t>
      </w:r>
      <w:r w:rsidRPr="005553AC">
        <w:rPr>
          <w:rFonts w:ascii="Times New Roman" w:hAnsi="Times New Roman"/>
          <w:sz w:val="24"/>
          <w:szCs w:val="24"/>
          <w:lang w:val="id-ID"/>
        </w:rPr>
        <w:t>Statistical test</w:t>
      </w:r>
      <m:oMath>
        <m:r>
          <w:rPr>
            <w:rFonts w:ascii="Cambria Math" w:hAnsi="Times New Roman"/>
            <w:sz w:val="24"/>
            <w:szCs w:val="24"/>
            <w:lang w:val="id-ID"/>
          </w:rPr>
          <m:t xml:space="preserve"> </m:t>
        </m:r>
        <m:r>
          <w:rPr>
            <w:rFonts w:ascii="Cambria Math" w:hAnsi="Times New Roman"/>
            <w:sz w:val="24"/>
            <w:szCs w:val="24"/>
          </w:rPr>
          <m:t>(</m:t>
        </m:r>
        <m:r>
          <w:rPr>
            <w:rFonts w:ascii="Cambria Math" w:hAnsi="Cambria Math"/>
            <w:sz w:val="24"/>
            <w:szCs w:val="24"/>
          </w:rPr>
          <m:t>W</m:t>
        </m:r>
      </m:oMath>
      <w:r w:rsidRPr="005553AC">
        <w:rPr>
          <w:rFonts w:ascii="Times New Roman" w:hAnsi="Times New Roman"/>
          <w:sz w:val="24"/>
          <w:szCs w:val="24"/>
          <w:lang w:val="id-ID"/>
        </w:rPr>
        <w:t>) can be expressed as</w:t>
      </w:r>
      <w:r w:rsidRPr="005553AC">
        <w:rPr>
          <w:rFonts w:ascii="Times New Roman" w:hAnsi="Times New Roman"/>
          <w:bCs/>
          <w:sz w:val="24"/>
          <w:szCs w:val="24"/>
          <w:lang w:val="id-ID"/>
        </w:rPr>
        <w:t xml:space="preserve"> (Kendall and Smith,  1939; Qudratullah, 2017) : </w:t>
      </w:r>
    </w:p>
    <w:p w:rsidR="005553AC" w:rsidRPr="005553AC" w:rsidRDefault="005553AC" w:rsidP="005553AC">
      <w:pPr>
        <w:pStyle w:val="ListParagraph"/>
        <w:jc w:val="both"/>
        <w:rPr>
          <w:rFonts w:ascii="Times New Roman" w:hAnsi="Times New Roman"/>
          <w:bCs/>
          <w:sz w:val="24"/>
          <w:szCs w:val="24"/>
          <w:lang w:val="id-ID"/>
        </w:rPr>
      </w:pPr>
    </w:p>
    <w:tbl>
      <w:tblPr>
        <w:tblW w:w="6841" w:type="dxa"/>
        <w:tblInd w:w="817" w:type="dxa"/>
        <w:tblLook w:val="04A0"/>
      </w:tblPr>
      <w:tblGrid>
        <w:gridCol w:w="6113"/>
        <w:gridCol w:w="728"/>
      </w:tblGrid>
      <w:tr w:rsidR="005553AC" w:rsidRPr="005553AC" w:rsidTr="005553AC">
        <w:trPr>
          <w:trHeight w:val="741"/>
        </w:trPr>
        <w:tc>
          <w:tcPr>
            <w:tcW w:w="6113" w:type="dxa"/>
            <w:vAlign w:val="center"/>
          </w:tcPr>
          <w:p w:rsidR="005553AC" w:rsidRPr="005553AC" w:rsidRDefault="005553AC" w:rsidP="00386E5B">
            <w:pPr>
              <w:pStyle w:val="NoSpacing"/>
              <w:jc w:val="center"/>
              <w:rPr>
                <w:rFonts w:ascii="Times New Roman" w:eastAsia="Times New Roman" w:hAnsi="Times New Roman"/>
                <w:sz w:val="24"/>
                <w:szCs w:val="24"/>
                <w:lang w:val="id-ID" w:eastAsia="en-GB"/>
              </w:rPr>
            </w:pPr>
            <w:r w:rsidRPr="005553AC">
              <w:rPr>
                <w:rFonts w:ascii="Times New Roman" w:eastAsia="Times New Roman" w:hAnsi="Times New Roman"/>
                <w:sz w:val="24"/>
                <w:szCs w:val="24"/>
                <w:lang w:val="id-ID" w:eastAsia="en-GB"/>
              </w:rPr>
              <w:t xml:space="preserve">       </w:t>
            </w:r>
            <w:r w:rsidRPr="005553AC">
              <w:rPr>
                <w:rFonts w:ascii="Times New Roman" w:eastAsia="Times New Roman" w:hAnsi="Times New Roman"/>
                <w:noProof/>
                <w:sz w:val="24"/>
                <w:szCs w:val="24"/>
                <w:lang w:val="id-ID" w:eastAsia="id-ID"/>
              </w:rPr>
              <w:drawing>
                <wp:inline distT="0" distB="0" distL="0" distR="0">
                  <wp:extent cx="2033270" cy="441325"/>
                  <wp:effectExtent l="19050" t="0" r="5080" b="0"/>
                  <wp:docPr id="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srcRect/>
                          <a:stretch>
                            <a:fillRect/>
                          </a:stretch>
                        </pic:blipFill>
                        <pic:spPr bwMode="auto">
                          <a:xfrm>
                            <a:off x="0" y="0"/>
                            <a:ext cx="2033270" cy="441325"/>
                          </a:xfrm>
                          <a:prstGeom prst="rect">
                            <a:avLst/>
                          </a:prstGeom>
                          <a:noFill/>
                          <a:ln w="9525">
                            <a:noFill/>
                            <a:miter lim="800000"/>
                            <a:headEnd/>
                            <a:tailEnd/>
                          </a:ln>
                        </pic:spPr>
                      </pic:pic>
                    </a:graphicData>
                  </a:graphic>
                </wp:inline>
              </w:drawing>
            </w:r>
          </w:p>
        </w:tc>
        <w:tc>
          <w:tcPr>
            <w:tcW w:w="728" w:type="dxa"/>
            <w:vAlign w:val="center"/>
          </w:tcPr>
          <w:p w:rsidR="005553AC" w:rsidRPr="005553AC" w:rsidRDefault="005553AC" w:rsidP="005553AC">
            <w:pPr>
              <w:pStyle w:val="NoSpacing"/>
              <w:ind w:right="-118"/>
              <w:jc w:val="right"/>
              <w:rPr>
                <w:rFonts w:ascii="Times New Roman" w:eastAsia="Times New Roman" w:hAnsi="Times New Roman"/>
                <w:sz w:val="24"/>
                <w:szCs w:val="24"/>
                <w:lang w:val="id-ID" w:eastAsia="id-ID"/>
              </w:rPr>
            </w:pPr>
            <w:r w:rsidRPr="005553AC">
              <w:rPr>
                <w:rFonts w:ascii="Times New Roman" w:eastAsia="Times New Roman" w:hAnsi="Times New Roman"/>
                <w:sz w:val="24"/>
                <w:szCs w:val="24"/>
                <w:lang w:val="id-ID" w:eastAsia="id-ID"/>
              </w:rPr>
              <w:t>(15)</w:t>
            </w:r>
          </w:p>
        </w:tc>
      </w:tr>
    </w:tbl>
    <w:p w:rsidR="005553AC" w:rsidRPr="005553AC" w:rsidRDefault="005553AC" w:rsidP="005553AC">
      <w:pPr>
        <w:pStyle w:val="BodyTextIndent"/>
        <w:tabs>
          <w:tab w:val="left" w:pos="1134"/>
        </w:tabs>
        <w:rPr>
          <w:rFonts w:ascii="Times New Roman" w:hAnsi="Times New Roman"/>
          <w:bCs/>
          <w:sz w:val="24"/>
          <w:szCs w:val="24"/>
          <w:lang w:val="id-ID"/>
        </w:rPr>
      </w:pPr>
    </w:p>
    <w:p w:rsidR="005553AC" w:rsidRPr="005553AC" w:rsidRDefault="005553AC" w:rsidP="005553AC">
      <w:pPr>
        <w:pStyle w:val="BodyTextIndent"/>
        <w:tabs>
          <w:tab w:val="left" w:pos="1134"/>
        </w:tabs>
        <w:ind w:left="720"/>
        <w:jc w:val="both"/>
        <w:rPr>
          <w:rFonts w:ascii="Times New Roman" w:hAnsi="Times New Roman"/>
          <w:bCs/>
          <w:sz w:val="24"/>
          <w:szCs w:val="24"/>
          <w:lang w:val="id-ID"/>
        </w:rPr>
      </w:pPr>
      <w:r w:rsidRPr="005553AC">
        <w:rPr>
          <w:rFonts w:ascii="Times New Roman" w:hAnsi="Times New Roman"/>
          <w:bCs/>
          <w:sz w:val="24"/>
          <w:szCs w:val="24"/>
          <w:lang w:val="id-ID"/>
        </w:rPr>
        <w:t>where</w:t>
      </w:r>
      <w:r w:rsidRPr="005553AC">
        <w:rPr>
          <w:rFonts w:ascii="Times New Roman" w:hAnsi="Times New Roman"/>
          <w:sz w:val="24"/>
          <w:szCs w:val="24"/>
          <w:lang w:val="id-ID"/>
        </w:rPr>
        <w:t xml:space="preserve"> </w:t>
      </w:r>
      <w:r w:rsidRPr="005553AC">
        <w:rPr>
          <w:rFonts w:ascii="Times New Roman" w:hAnsi="Times New Roman"/>
          <w:i/>
          <w:noProof/>
          <w:sz w:val="24"/>
          <w:szCs w:val="24"/>
          <w:lang w:val="id-ID" w:eastAsia="id-ID"/>
        </w:rPr>
        <w:t>R</w:t>
      </w:r>
      <w:r w:rsidRPr="005553AC">
        <w:rPr>
          <w:rFonts w:ascii="Times New Roman" w:hAnsi="Times New Roman"/>
          <w:i/>
          <w:noProof/>
          <w:sz w:val="24"/>
          <w:szCs w:val="24"/>
          <w:vertAlign w:val="subscript"/>
          <w:lang w:val="id-ID" w:eastAsia="id-ID"/>
        </w:rPr>
        <w:t>i</w:t>
      </w:r>
      <w:r w:rsidRPr="005553AC">
        <w:rPr>
          <w:rFonts w:ascii="Times New Roman" w:hAnsi="Times New Roman"/>
          <w:sz w:val="24"/>
          <w:szCs w:val="24"/>
          <w:lang w:val="id-ID"/>
        </w:rPr>
        <w:t xml:space="preserve"> </w:t>
      </w:r>
      <w:r w:rsidRPr="005553AC">
        <w:rPr>
          <w:rFonts w:ascii="Times New Roman" w:hAnsi="Times New Roman"/>
          <w:sz w:val="24"/>
          <w:szCs w:val="24"/>
        </w:rPr>
        <w:t>is the number of ranks of the</w:t>
      </w:r>
      <w:r w:rsidRPr="005553AC">
        <w:rPr>
          <w:rFonts w:ascii="Times New Roman" w:hAnsi="Times New Roman"/>
          <w:i/>
          <w:sz w:val="24"/>
          <w:szCs w:val="24"/>
        </w:rPr>
        <w:t xml:space="preserve"> i</w:t>
      </w:r>
      <w:r w:rsidRPr="005553AC">
        <w:rPr>
          <w:rFonts w:ascii="Times New Roman" w:hAnsi="Times New Roman"/>
          <w:sz w:val="24"/>
          <w:szCs w:val="24"/>
        </w:rPr>
        <w:t xml:space="preserve"> </w:t>
      </w:r>
      <w:r w:rsidRPr="005553AC">
        <w:rPr>
          <w:rFonts w:ascii="Times New Roman" w:hAnsi="Times New Roman"/>
          <w:sz w:val="24"/>
          <w:szCs w:val="24"/>
          <w:lang w:val="id-ID"/>
        </w:rPr>
        <w:t>s</w:t>
      </w:r>
      <w:r w:rsidRPr="005553AC">
        <w:rPr>
          <w:rFonts w:ascii="Times New Roman" w:hAnsi="Times New Roman"/>
          <w:sz w:val="24"/>
          <w:szCs w:val="24"/>
        </w:rPr>
        <w:t>tock</w:t>
      </w:r>
      <w:r w:rsidRPr="005553AC">
        <w:rPr>
          <w:rFonts w:ascii="Times New Roman" w:hAnsi="Times New Roman"/>
          <w:sz w:val="24"/>
          <w:szCs w:val="24"/>
          <w:lang w:val="id-ID"/>
        </w:rPr>
        <w:t xml:space="preserve">, </w:t>
      </w:r>
      <w:r w:rsidRPr="005553AC">
        <w:rPr>
          <w:rFonts w:ascii="Times New Roman" w:hAnsi="Times New Roman"/>
          <w:i/>
          <w:sz w:val="24"/>
          <w:szCs w:val="24"/>
          <w:lang w:val="id-ID"/>
        </w:rPr>
        <w:t>n</w:t>
      </w:r>
      <w:r w:rsidRPr="005553AC">
        <w:rPr>
          <w:rFonts w:ascii="Times New Roman" w:hAnsi="Times New Roman"/>
          <w:sz w:val="24"/>
          <w:szCs w:val="24"/>
        </w:rPr>
        <w:t xml:space="preserve"> is the number of stock</w:t>
      </w:r>
      <w:r w:rsidRPr="005553AC">
        <w:rPr>
          <w:rFonts w:ascii="Times New Roman" w:hAnsi="Times New Roman"/>
          <w:sz w:val="24"/>
          <w:szCs w:val="24"/>
          <w:lang w:val="id-ID"/>
        </w:rPr>
        <w:t xml:space="preserve">, and </w:t>
      </w:r>
      <w:r w:rsidRPr="005553AC">
        <w:rPr>
          <w:rFonts w:ascii="Times New Roman" w:hAnsi="Times New Roman"/>
          <w:i/>
          <w:sz w:val="24"/>
          <w:szCs w:val="24"/>
          <w:lang w:val="id-ID"/>
        </w:rPr>
        <w:t xml:space="preserve">m </w:t>
      </w:r>
      <w:r w:rsidRPr="005553AC">
        <w:rPr>
          <w:rFonts w:ascii="Times New Roman" w:hAnsi="Times New Roman"/>
          <w:sz w:val="24"/>
          <w:szCs w:val="24"/>
        </w:rPr>
        <w:t>is the number of models</w:t>
      </w:r>
      <w:r w:rsidRPr="005553AC">
        <w:rPr>
          <w:rFonts w:ascii="Times New Roman" w:hAnsi="Times New Roman"/>
          <w:sz w:val="24"/>
          <w:szCs w:val="24"/>
          <w:lang w:val="id-ID"/>
        </w:rPr>
        <w:t>.</w:t>
      </w:r>
    </w:p>
    <w:p w:rsidR="005553AC" w:rsidRPr="005553AC" w:rsidRDefault="005553AC" w:rsidP="005553AC">
      <w:pPr>
        <w:pStyle w:val="BodyTextIndent"/>
        <w:tabs>
          <w:tab w:val="left" w:pos="1134"/>
        </w:tabs>
        <w:ind w:left="720"/>
        <w:jc w:val="both"/>
        <w:rPr>
          <w:rFonts w:ascii="Times New Roman" w:hAnsi="Times New Roman"/>
          <w:bCs/>
          <w:sz w:val="24"/>
          <w:szCs w:val="24"/>
          <w:lang w:val="id-ID"/>
        </w:rPr>
      </w:pPr>
      <w:r w:rsidRPr="005553AC">
        <w:rPr>
          <w:rFonts w:ascii="Times New Roman" w:hAnsi="Times New Roman"/>
          <w:bCs/>
          <w:sz w:val="24"/>
          <w:szCs w:val="24"/>
          <w:lang w:val="id-ID"/>
        </w:rPr>
        <w:t xml:space="preserve">Then calculate the Spearman correlation coefficient for each pair of modifications of the Sharpe Ratio, </w:t>
      </w:r>
      <w:r w:rsidRPr="005553AC">
        <w:rPr>
          <w:rFonts w:ascii="Times New Roman" w:hAnsi="Times New Roman"/>
          <w:sz w:val="24"/>
          <w:szCs w:val="24"/>
          <w:lang w:val="id-ID"/>
        </w:rPr>
        <w:t>which can be expressed as follows</w:t>
      </w:r>
      <w:r w:rsidRPr="005553AC">
        <w:rPr>
          <w:rFonts w:ascii="Times New Roman" w:hAnsi="Times New Roman"/>
          <w:bCs/>
          <w:sz w:val="24"/>
          <w:szCs w:val="24"/>
          <w:lang w:val="id-ID"/>
        </w:rPr>
        <w:t xml:space="preserve"> (Spearman, 1904; Qudratullah, 2017):</w:t>
      </w:r>
    </w:p>
    <w:p w:rsidR="005553AC" w:rsidRPr="005553AC" w:rsidRDefault="005553AC" w:rsidP="005553AC">
      <w:pPr>
        <w:pStyle w:val="BodyTextIndent"/>
        <w:tabs>
          <w:tab w:val="left" w:pos="1134"/>
        </w:tabs>
        <w:rPr>
          <w:rFonts w:ascii="Times New Roman" w:hAnsi="Times New Roman"/>
          <w:bCs/>
          <w:sz w:val="24"/>
          <w:szCs w:val="24"/>
          <w:lang w:val="id-ID"/>
        </w:rPr>
      </w:pPr>
    </w:p>
    <w:tbl>
      <w:tblPr>
        <w:tblW w:w="8539" w:type="dxa"/>
        <w:tblInd w:w="817" w:type="dxa"/>
        <w:tblLook w:val="04A0"/>
      </w:tblPr>
      <w:tblGrid>
        <w:gridCol w:w="4853"/>
        <w:gridCol w:w="3686"/>
      </w:tblGrid>
      <w:tr w:rsidR="005553AC" w:rsidRPr="005553AC" w:rsidTr="00386E5B">
        <w:tc>
          <w:tcPr>
            <w:tcW w:w="4853" w:type="dxa"/>
            <w:vAlign w:val="center"/>
          </w:tcPr>
          <w:p w:rsidR="005553AC" w:rsidRPr="005553AC" w:rsidRDefault="005553AC" w:rsidP="00386E5B">
            <w:pPr>
              <w:pStyle w:val="NoSpacing"/>
              <w:jc w:val="center"/>
              <w:rPr>
                <w:rFonts w:ascii="Times New Roman" w:hAnsi="Times New Roman"/>
                <w:sz w:val="24"/>
                <w:szCs w:val="24"/>
                <w:lang w:val="id-ID"/>
              </w:rPr>
            </w:pPr>
            <w:r w:rsidRPr="005553AC">
              <w:rPr>
                <w:rFonts w:ascii="Times New Roman" w:hAnsi="Times New Roman"/>
                <w:sz w:val="24"/>
                <w:szCs w:val="24"/>
                <w:lang w:val="id-ID"/>
              </w:rPr>
              <w:t xml:space="preserve">     </w:t>
            </w:r>
            <w:r w:rsidRPr="005553AC">
              <w:rPr>
                <w:rFonts w:ascii="Times New Roman" w:hAnsi="Times New Roman"/>
                <w:noProof/>
                <w:sz w:val="24"/>
                <w:szCs w:val="24"/>
                <w:lang w:val="id-ID" w:eastAsia="id-ID"/>
              </w:rPr>
              <w:drawing>
                <wp:inline distT="0" distB="0" distL="0" distR="0">
                  <wp:extent cx="1559560" cy="452120"/>
                  <wp:effectExtent l="19050" t="0" r="2540" b="0"/>
                  <wp:docPr id="1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srcRect/>
                          <a:stretch>
                            <a:fillRect/>
                          </a:stretch>
                        </pic:blipFill>
                        <pic:spPr bwMode="auto">
                          <a:xfrm>
                            <a:off x="0" y="0"/>
                            <a:ext cx="1559560" cy="452120"/>
                          </a:xfrm>
                          <a:prstGeom prst="rect">
                            <a:avLst/>
                          </a:prstGeom>
                          <a:noFill/>
                          <a:ln w="9525">
                            <a:noFill/>
                            <a:miter lim="800000"/>
                            <a:headEnd/>
                            <a:tailEnd/>
                          </a:ln>
                        </pic:spPr>
                      </pic:pic>
                    </a:graphicData>
                  </a:graphic>
                </wp:inline>
              </w:drawing>
            </w:r>
          </w:p>
        </w:tc>
        <w:tc>
          <w:tcPr>
            <w:tcW w:w="3686" w:type="dxa"/>
            <w:vAlign w:val="center"/>
          </w:tcPr>
          <w:p w:rsidR="005553AC" w:rsidRPr="005553AC" w:rsidRDefault="005553AC" w:rsidP="005553AC">
            <w:pPr>
              <w:pStyle w:val="NoSpacing"/>
              <w:ind w:right="1670"/>
              <w:jc w:val="right"/>
              <w:rPr>
                <w:rFonts w:ascii="Times New Roman" w:hAnsi="Times New Roman"/>
                <w:sz w:val="24"/>
                <w:szCs w:val="24"/>
              </w:rPr>
            </w:pPr>
            <w:r w:rsidRPr="005553AC">
              <w:rPr>
                <w:rFonts w:ascii="Times New Roman" w:hAnsi="Times New Roman"/>
                <w:sz w:val="24"/>
                <w:szCs w:val="24"/>
              </w:rPr>
              <w:t>(</w:t>
            </w:r>
            <w:r w:rsidRPr="005553AC">
              <w:rPr>
                <w:rFonts w:ascii="Times New Roman" w:hAnsi="Times New Roman"/>
                <w:sz w:val="24"/>
                <w:szCs w:val="24"/>
                <w:lang w:val="id-ID"/>
              </w:rPr>
              <w:t>16</w:t>
            </w:r>
            <w:r w:rsidRPr="005553AC">
              <w:rPr>
                <w:rFonts w:ascii="Times New Roman" w:hAnsi="Times New Roman"/>
                <w:sz w:val="24"/>
                <w:szCs w:val="24"/>
              </w:rPr>
              <w:t>)</w:t>
            </w:r>
          </w:p>
        </w:tc>
      </w:tr>
    </w:tbl>
    <w:p w:rsidR="005553AC" w:rsidRPr="005553AC" w:rsidRDefault="005553AC" w:rsidP="005553AC">
      <w:pPr>
        <w:pStyle w:val="BodyTextIndent"/>
        <w:tabs>
          <w:tab w:val="left" w:pos="1134"/>
        </w:tabs>
        <w:rPr>
          <w:rFonts w:ascii="Times New Roman" w:hAnsi="Times New Roman"/>
          <w:sz w:val="24"/>
          <w:szCs w:val="24"/>
          <w:lang w:val="id-ID"/>
        </w:rPr>
      </w:pPr>
    </w:p>
    <w:p w:rsidR="005553AC" w:rsidRPr="005553AC" w:rsidRDefault="005553AC" w:rsidP="005553AC">
      <w:pPr>
        <w:pStyle w:val="BodyTextIndent"/>
        <w:tabs>
          <w:tab w:val="left" w:pos="1134"/>
        </w:tabs>
        <w:ind w:left="720"/>
        <w:rPr>
          <w:rFonts w:ascii="Times New Roman" w:hAnsi="Times New Roman"/>
          <w:sz w:val="24"/>
          <w:szCs w:val="24"/>
          <w:lang w:val="id-ID"/>
        </w:rPr>
      </w:pPr>
      <w:r w:rsidRPr="005553AC">
        <w:rPr>
          <w:rFonts w:ascii="Times New Roman" w:hAnsi="Times New Roman"/>
          <w:sz w:val="24"/>
          <w:szCs w:val="24"/>
          <w:lang w:val="id-ID"/>
        </w:rPr>
        <w:t xml:space="preserve">where, </w:t>
      </w:r>
      <w:r w:rsidRPr="005553AC">
        <w:rPr>
          <w:rFonts w:ascii="Times New Roman" w:hAnsi="Times New Roman"/>
          <w:i/>
          <w:sz w:val="24"/>
          <w:szCs w:val="24"/>
          <w:lang w:val="id-ID"/>
        </w:rPr>
        <w:t>r</w:t>
      </w:r>
      <w:r w:rsidRPr="005553AC">
        <w:rPr>
          <w:rFonts w:ascii="Times New Roman" w:hAnsi="Times New Roman"/>
          <w:i/>
          <w:sz w:val="24"/>
          <w:szCs w:val="24"/>
          <w:vertAlign w:val="subscript"/>
          <w:lang w:val="id-ID"/>
        </w:rPr>
        <w:t>s</w:t>
      </w:r>
      <w:r w:rsidRPr="005553AC">
        <w:rPr>
          <w:rFonts w:ascii="Times New Roman" w:hAnsi="Times New Roman"/>
          <w:sz w:val="24"/>
          <w:szCs w:val="24"/>
          <w:lang w:val="id-ID"/>
        </w:rPr>
        <w:fldChar w:fldCharType="begin"/>
      </w:r>
      <w:r w:rsidRPr="005553AC">
        <w:rPr>
          <w:rFonts w:ascii="Times New Roman" w:hAnsi="Times New Roman"/>
          <w:sz w:val="24"/>
          <w:szCs w:val="24"/>
          <w:lang w:val="id-ID"/>
        </w:rPr>
        <w:instrText xml:space="preserve"> QUOTE </w:instrText>
      </w:r>
      <m:oMath>
        <m:sSub>
          <m:sSubPr>
            <m:ctrlPr>
              <w:rPr>
                <w:rFonts w:ascii="Cambria Math" w:hAnsi="Times New Roman"/>
                <w:i/>
                <w:sz w:val="24"/>
                <w:szCs w:val="24"/>
                <w:lang w:val="id-ID"/>
              </w:rPr>
            </m:ctrlPr>
          </m:sSubPr>
          <m:e>
            <m:r>
              <w:rPr>
                <w:rFonts w:ascii="Cambria Math" w:hAnsi="Cambria Math"/>
                <w:sz w:val="24"/>
                <w:szCs w:val="24"/>
                <w:lang w:val="id-ID"/>
              </w:rPr>
              <m:t>r</m:t>
            </m:r>
          </m:e>
          <m:sub>
            <m:r>
              <w:rPr>
                <w:rFonts w:ascii="Cambria Math" w:hAnsi="Cambria Math"/>
                <w:sz w:val="24"/>
                <w:szCs w:val="24"/>
                <w:lang w:val="id-ID"/>
              </w:rPr>
              <m:t>s</m:t>
            </m:r>
          </m:sub>
        </m:sSub>
      </m:oMath>
      <w:r w:rsidRPr="005553AC">
        <w:rPr>
          <w:rFonts w:ascii="Times New Roman" w:hAnsi="Times New Roman"/>
          <w:sz w:val="24"/>
          <w:szCs w:val="24"/>
          <w:lang w:val="id-ID"/>
        </w:rPr>
        <w:instrText xml:space="preserve"> </w:instrText>
      </w:r>
      <w:r w:rsidRPr="005553AC">
        <w:rPr>
          <w:rFonts w:ascii="Times New Roman" w:hAnsi="Times New Roman"/>
          <w:sz w:val="24"/>
          <w:szCs w:val="24"/>
          <w:lang w:val="id-ID"/>
        </w:rPr>
        <w:fldChar w:fldCharType="end"/>
      </w:r>
      <w:r w:rsidRPr="005553AC">
        <w:rPr>
          <w:rFonts w:ascii="Times New Roman" w:hAnsi="Times New Roman"/>
          <w:sz w:val="24"/>
          <w:szCs w:val="24"/>
          <w:lang w:val="id-ID"/>
        </w:rPr>
        <w:t xml:space="preserve"> </w:t>
      </w:r>
      <w:r w:rsidRPr="005553AC">
        <w:rPr>
          <w:rFonts w:ascii="Times New Roman" w:hAnsi="Times New Roman"/>
          <w:sz w:val="24"/>
          <w:szCs w:val="24"/>
        </w:rPr>
        <w:t>is the Spearman rank correlation coefficient</w:t>
      </w:r>
      <w:r w:rsidRPr="005553AC">
        <w:rPr>
          <w:rFonts w:ascii="Times New Roman" w:hAnsi="Times New Roman"/>
          <w:bCs/>
          <w:sz w:val="24"/>
          <w:szCs w:val="24"/>
          <w:lang w:val="id-ID"/>
        </w:rPr>
        <w:t xml:space="preserve">, </w:t>
      </w:r>
      <w:r w:rsidRPr="005553AC">
        <w:rPr>
          <w:rFonts w:ascii="Times New Roman" w:hAnsi="Times New Roman"/>
          <w:i/>
          <w:noProof/>
          <w:sz w:val="24"/>
          <w:szCs w:val="24"/>
          <w:lang w:val="id-ID" w:eastAsia="id-ID"/>
        </w:rPr>
        <w:t>d</w:t>
      </w:r>
      <w:r w:rsidRPr="005553AC">
        <w:rPr>
          <w:rFonts w:ascii="Times New Roman" w:hAnsi="Times New Roman"/>
          <w:i/>
          <w:noProof/>
          <w:sz w:val="24"/>
          <w:szCs w:val="24"/>
          <w:vertAlign w:val="subscript"/>
          <w:lang w:val="id-ID" w:eastAsia="id-ID"/>
        </w:rPr>
        <w:t xml:space="preserve">i </w:t>
      </w:r>
      <w:r w:rsidRPr="005553AC">
        <w:rPr>
          <w:rFonts w:ascii="Times New Roman" w:hAnsi="Times New Roman"/>
          <w:noProof/>
          <w:sz w:val="24"/>
          <w:szCs w:val="24"/>
          <w:lang w:val="id-ID" w:eastAsia="id-ID"/>
        </w:rPr>
        <w:t>=(</w:t>
      </w:r>
      <w:r w:rsidRPr="005553AC">
        <w:rPr>
          <w:rFonts w:ascii="Times New Roman" w:hAnsi="Times New Roman"/>
          <w:i/>
          <w:noProof/>
          <w:sz w:val="24"/>
          <w:szCs w:val="24"/>
          <w:lang w:val="id-ID" w:eastAsia="id-ID"/>
        </w:rPr>
        <w:t>R</w:t>
      </w:r>
      <w:r w:rsidRPr="005553AC">
        <w:rPr>
          <w:rFonts w:ascii="Times New Roman" w:hAnsi="Times New Roman"/>
          <w:i/>
          <w:noProof/>
          <w:sz w:val="24"/>
          <w:szCs w:val="24"/>
          <w:vertAlign w:val="subscript"/>
          <w:lang w:val="id-ID" w:eastAsia="id-ID"/>
        </w:rPr>
        <w:t>Ai</w:t>
      </w:r>
      <w:r w:rsidRPr="005553AC">
        <w:rPr>
          <w:rFonts w:ascii="Times New Roman" w:hAnsi="Times New Roman"/>
          <w:i/>
          <w:noProof/>
          <w:sz w:val="24"/>
          <w:szCs w:val="24"/>
          <w:lang w:val="id-ID" w:eastAsia="id-ID"/>
        </w:rPr>
        <w:t xml:space="preserve"> - R</w:t>
      </w:r>
      <w:r w:rsidRPr="005553AC">
        <w:rPr>
          <w:rFonts w:ascii="Times New Roman" w:hAnsi="Times New Roman"/>
          <w:i/>
          <w:noProof/>
          <w:sz w:val="24"/>
          <w:szCs w:val="24"/>
          <w:vertAlign w:val="subscript"/>
          <w:lang w:val="id-ID" w:eastAsia="id-ID"/>
        </w:rPr>
        <w:t>Bi</w:t>
      </w:r>
      <w:r w:rsidRPr="005553AC">
        <w:rPr>
          <w:rFonts w:ascii="Times New Roman" w:hAnsi="Times New Roman"/>
          <w:noProof/>
          <w:sz w:val="24"/>
          <w:szCs w:val="24"/>
          <w:lang w:val="id-ID" w:eastAsia="id-ID"/>
        </w:rPr>
        <w:t>)</w:t>
      </w:r>
      <w:r w:rsidRPr="005553AC">
        <w:rPr>
          <w:rFonts w:ascii="Times New Roman" w:hAnsi="Times New Roman"/>
          <w:sz w:val="24"/>
          <w:szCs w:val="24"/>
          <w:lang w:val="id-ID"/>
        </w:rPr>
        <w:t xml:space="preserve">, </w:t>
      </w:r>
      <w:r w:rsidRPr="005553AC">
        <w:rPr>
          <w:rFonts w:ascii="Times New Roman" w:hAnsi="Times New Roman"/>
          <w:i/>
          <w:noProof/>
          <w:sz w:val="24"/>
          <w:szCs w:val="24"/>
          <w:lang w:val="id-ID" w:eastAsia="id-ID"/>
        </w:rPr>
        <w:t>R</w:t>
      </w:r>
      <w:r w:rsidRPr="005553AC">
        <w:rPr>
          <w:rFonts w:ascii="Times New Roman" w:hAnsi="Times New Roman"/>
          <w:i/>
          <w:noProof/>
          <w:sz w:val="24"/>
          <w:szCs w:val="24"/>
          <w:vertAlign w:val="subscript"/>
          <w:lang w:val="id-ID" w:eastAsia="id-ID"/>
        </w:rPr>
        <w:t>Ai</w:t>
      </w:r>
      <w:r w:rsidRPr="005553AC">
        <w:rPr>
          <w:rFonts w:ascii="Times New Roman" w:hAnsi="Times New Roman"/>
          <w:bCs/>
          <w:sz w:val="24"/>
          <w:szCs w:val="24"/>
          <w:lang w:val="id-ID"/>
        </w:rPr>
        <w:fldChar w:fldCharType="begin"/>
      </w:r>
      <w:r w:rsidRPr="005553AC">
        <w:rPr>
          <w:rFonts w:ascii="Times New Roman" w:hAnsi="Times New Roman"/>
          <w:bCs/>
          <w:sz w:val="24"/>
          <w:szCs w:val="24"/>
          <w:lang w:val="id-ID"/>
        </w:rPr>
        <w:instrText xml:space="preserve"> QUOTE </w:instrText>
      </w:r>
      <m:oMath>
        <m:r>
          <m:rPr>
            <m:sty m:val="p"/>
          </m:rPr>
          <w:rPr>
            <w:rFonts w:ascii="Cambria Math" w:hAnsi="Times New Roman"/>
            <w:sz w:val="24"/>
            <w:szCs w:val="24"/>
          </w:rPr>
          <m:t xml:space="preserve"> </m:t>
        </m:r>
        <m:sSub>
          <m:sSubPr>
            <m:ctrlPr>
              <w:rPr>
                <w:rFonts w:ascii="Cambria Math" w:hAnsi="Times New Roman"/>
                <w:sz w:val="24"/>
                <w:szCs w:val="24"/>
              </w:rPr>
            </m:ctrlPr>
          </m:sSubPr>
          <m:e>
            <m:r>
              <w:rPr>
                <w:rFonts w:ascii="Cambria Math" w:hAnsi="Cambria Math"/>
                <w:sz w:val="24"/>
                <w:szCs w:val="24"/>
              </w:rPr>
              <m:t>R</m:t>
            </m:r>
          </m:e>
          <m:sub>
            <m:sSub>
              <m:sSubPr>
                <m:ctrlPr>
                  <w:rPr>
                    <w:rFonts w:ascii="Cambria Math" w:hAnsi="Times New Roman"/>
                    <w:sz w:val="24"/>
                    <w:szCs w:val="24"/>
                  </w:rPr>
                </m:ctrlPr>
              </m:sSubPr>
              <m:e>
                <m:r>
                  <w:rPr>
                    <w:rFonts w:ascii="Cambria Math" w:hAnsi="Cambria Math"/>
                    <w:sz w:val="24"/>
                    <w:szCs w:val="24"/>
                  </w:rPr>
                  <m:t>A</m:t>
                </m:r>
              </m:e>
              <m:sub>
                <m:r>
                  <w:rPr>
                    <w:rFonts w:ascii="Cambria Math" w:hAnsi="Cambria Math"/>
                    <w:sz w:val="24"/>
                    <w:szCs w:val="24"/>
                  </w:rPr>
                  <m:t>i</m:t>
                </m:r>
              </m:sub>
            </m:sSub>
          </m:sub>
        </m:sSub>
      </m:oMath>
      <w:r w:rsidRPr="005553AC">
        <w:rPr>
          <w:rFonts w:ascii="Times New Roman" w:hAnsi="Times New Roman"/>
          <w:bCs/>
          <w:sz w:val="24"/>
          <w:szCs w:val="24"/>
          <w:lang w:val="id-ID"/>
        </w:rPr>
        <w:instrText xml:space="preserve"> </w:instrText>
      </w:r>
      <w:r w:rsidRPr="005553AC">
        <w:rPr>
          <w:rFonts w:ascii="Times New Roman" w:hAnsi="Times New Roman"/>
          <w:bCs/>
          <w:sz w:val="24"/>
          <w:szCs w:val="24"/>
          <w:lang w:val="id-ID"/>
        </w:rPr>
        <w:fldChar w:fldCharType="end"/>
      </w:r>
      <w:r w:rsidRPr="005553AC">
        <w:rPr>
          <w:rFonts w:ascii="Times New Roman" w:hAnsi="Times New Roman"/>
          <w:bCs/>
          <w:sz w:val="24"/>
          <w:szCs w:val="24"/>
          <w:lang w:val="id-ID"/>
        </w:rPr>
        <w:t xml:space="preserve"> </w:t>
      </w:r>
      <w:r w:rsidRPr="005553AC">
        <w:rPr>
          <w:rFonts w:ascii="Times New Roman" w:hAnsi="Times New Roman"/>
          <w:sz w:val="24"/>
          <w:szCs w:val="24"/>
        </w:rPr>
        <w:t xml:space="preserve">is the </w:t>
      </w:r>
      <w:r w:rsidRPr="005553AC">
        <w:rPr>
          <w:rFonts w:ascii="Times New Roman" w:hAnsi="Times New Roman"/>
          <w:i/>
          <w:sz w:val="24"/>
          <w:szCs w:val="24"/>
        </w:rPr>
        <w:t>i</w:t>
      </w:r>
      <w:r w:rsidRPr="005553AC">
        <w:rPr>
          <w:rFonts w:ascii="Times New Roman" w:hAnsi="Times New Roman"/>
          <w:sz w:val="24"/>
          <w:szCs w:val="24"/>
        </w:rPr>
        <w:t xml:space="preserve"> stock rank of the first model</w:t>
      </w:r>
      <w:r w:rsidRPr="005553AC">
        <w:rPr>
          <w:rFonts w:ascii="Times New Roman" w:hAnsi="Times New Roman"/>
          <w:bCs/>
          <w:sz w:val="24"/>
          <w:szCs w:val="24"/>
          <w:lang w:val="id-ID"/>
        </w:rPr>
        <w:t xml:space="preserve"> and </w:t>
      </w:r>
      <w:r w:rsidRPr="005553AC">
        <w:rPr>
          <w:rFonts w:ascii="Times New Roman" w:hAnsi="Times New Roman"/>
          <w:i/>
          <w:noProof/>
          <w:sz w:val="24"/>
          <w:szCs w:val="24"/>
          <w:lang w:val="id-ID" w:eastAsia="id-ID"/>
        </w:rPr>
        <w:t>R</w:t>
      </w:r>
      <w:r w:rsidRPr="005553AC">
        <w:rPr>
          <w:rFonts w:ascii="Times New Roman" w:hAnsi="Times New Roman"/>
          <w:i/>
          <w:noProof/>
          <w:sz w:val="24"/>
          <w:szCs w:val="24"/>
          <w:vertAlign w:val="subscript"/>
          <w:lang w:val="id-ID" w:eastAsia="id-ID"/>
        </w:rPr>
        <w:t>Bi</w:t>
      </w:r>
      <w:r w:rsidRPr="005553AC">
        <w:rPr>
          <w:rFonts w:ascii="Times New Roman" w:hAnsi="Times New Roman"/>
          <w:sz w:val="24"/>
          <w:szCs w:val="24"/>
          <w:lang w:val="id-ID"/>
        </w:rPr>
        <w:fldChar w:fldCharType="begin"/>
      </w:r>
      <w:r w:rsidRPr="005553AC">
        <w:rPr>
          <w:rFonts w:ascii="Times New Roman" w:hAnsi="Times New Roman"/>
          <w:sz w:val="24"/>
          <w:szCs w:val="24"/>
          <w:lang w:val="id-ID"/>
        </w:rPr>
        <w:instrText xml:space="preserve"> QUOTE </w:instrText>
      </w:r>
      <m:oMath>
        <m:sSub>
          <m:sSubPr>
            <m:ctrlPr>
              <w:rPr>
                <w:rFonts w:ascii="Cambria Math" w:hAnsi="Times New Roman"/>
                <w:sz w:val="24"/>
                <w:szCs w:val="24"/>
              </w:rPr>
            </m:ctrlPr>
          </m:sSubPr>
          <m:e>
            <m:r>
              <w:rPr>
                <w:rFonts w:ascii="Cambria Math" w:hAnsi="Cambria Math"/>
                <w:sz w:val="24"/>
                <w:szCs w:val="24"/>
              </w:rPr>
              <m:t>R</m:t>
            </m:r>
          </m:e>
          <m:sub>
            <m:sSub>
              <m:sSubPr>
                <m:ctrlPr>
                  <w:rPr>
                    <w:rFonts w:ascii="Cambria Math" w:hAnsi="Times New Roman"/>
                    <w:sz w:val="24"/>
                    <w:szCs w:val="24"/>
                  </w:rPr>
                </m:ctrlPr>
              </m:sSubPr>
              <m:e>
                <m:r>
                  <w:rPr>
                    <w:rFonts w:ascii="Cambria Math" w:hAnsi="Cambria Math"/>
                    <w:sz w:val="24"/>
                    <w:szCs w:val="24"/>
                  </w:rPr>
                  <m:t>B</m:t>
                </m:r>
              </m:e>
              <m:sub>
                <m:r>
                  <w:rPr>
                    <w:rFonts w:ascii="Cambria Math" w:hAnsi="Cambria Math"/>
                    <w:sz w:val="24"/>
                    <w:szCs w:val="24"/>
                  </w:rPr>
                  <m:t>i</m:t>
                </m:r>
              </m:sub>
            </m:sSub>
          </m:sub>
        </m:sSub>
      </m:oMath>
      <w:r w:rsidRPr="005553AC">
        <w:rPr>
          <w:rFonts w:ascii="Times New Roman" w:hAnsi="Times New Roman"/>
          <w:sz w:val="24"/>
          <w:szCs w:val="24"/>
          <w:lang w:val="id-ID"/>
        </w:rPr>
        <w:instrText xml:space="preserve"> </w:instrText>
      </w:r>
      <w:r w:rsidRPr="005553AC">
        <w:rPr>
          <w:rFonts w:ascii="Times New Roman" w:hAnsi="Times New Roman"/>
          <w:sz w:val="24"/>
          <w:szCs w:val="24"/>
          <w:lang w:val="id-ID"/>
        </w:rPr>
        <w:fldChar w:fldCharType="end"/>
      </w:r>
      <w:r w:rsidRPr="005553AC">
        <w:rPr>
          <w:rFonts w:ascii="Times New Roman" w:hAnsi="Times New Roman"/>
          <w:sz w:val="24"/>
          <w:szCs w:val="24"/>
          <w:lang w:val="id-ID"/>
        </w:rPr>
        <w:t xml:space="preserve"> </w:t>
      </w:r>
      <w:r w:rsidRPr="005553AC">
        <w:rPr>
          <w:rFonts w:ascii="Times New Roman" w:hAnsi="Times New Roman"/>
          <w:sz w:val="24"/>
          <w:szCs w:val="24"/>
        </w:rPr>
        <w:t xml:space="preserve">is the </w:t>
      </w:r>
      <w:r w:rsidRPr="005553AC">
        <w:rPr>
          <w:rFonts w:ascii="Times New Roman" w:hAnsi="Times New Roman"/>
          <w:i/>
          <w:sz w:val="24"/>
          <w:szCs w:val="24"/>
        </w:rPr>
        <w:t xml:space="preserve">i </w:t>
      </w:r>
      <w:r w:rsidRPr="005553AC">
        <w:rPr>
          <w:rFonts w:ascii="Times New Roman" w:hAnsi="Times New Roman"/>
          <w:sz w:val="24"/>
          <w:szCs w:val="24"/>
        </w:rPr>
        <w:t>stock rank of the second model</w:t>
      </w:r>
      <w:r w:rsidRPr="005553AC">
        <w:rPr>
          <w:rFonts w:ascii="Times New Roman" w:hAnsi="Times New Roman"/>
          <w:sz w:val="24"/>
          <w:szCs w:val="24"/>
          <w:lang w:val="id-ID"/>
        </w:rPr>
        <w:t xml:space="preserve">. </w:t>
      </w:r>
    </w:p>
    <w:p w:rsidR="005553AC" w:rsidRPr="005553AC" w:rsidRDefault="005553AC" w:rsidP="005553AC">
      <w:pPr>
        <w:pStyle w:val="NoSpacing"/>
        <w:numPr>
          <w:ilvl w:val="0"/>
          <w:numId w:val="15"/>
        </w:numPr>
        <w:jc w:val="both"/>
        <w:rPr>
          <w:rFonts w:ascii="Times New Roman" w:eastAsia="Times New Roman" w:hAnsi="Times New Roman"/>
          <w:bCs/>
          <w:sz w:val="24"/>
          <w:szCs w:val="24"/>
        </w:rPr>
      </w:pPr>
      <w:r w:rsidRPr="005553AC">
        <w:rPr>
          <w:rFonts w:ascii="Times New Roman" w:hAnsi="Times New Roman"/>
          <w:bCs/>
          <w:sz w:val="24"/>
          <w:szCs w:val="24"/>
          <w:lang w:val="id-ID"/>
        </w:rPr>
        <w:t xml:space="preserve">Perform cluster analysis for five modifications of </w:t>
      </w:r>
      <w:r w:rsidR="002D5CC1">
        <w:rPr>
          <w:rFonts w:ascii="Times New Roman" w:hAnsi="Times New Roman"/>
          <w:bCs/>
          <w:sz w:val="24"/>
          <w:szCs w:val="24"/>
          <w:lang w:val="id-ID"/>
        </w:rPr>
        <w:t xml:space="preserve">the </w:t>
      </w:r>
      <w:r w:rsidRPr="005553AC">
        <w:rPr>
          <w:rFonts w:ascii="Times New Roman" w:hAnsi="Times New Roman"/>
          <w:bCs/>
          <w:sz w:val="24"/>
          <w:szCs w:val="24"/>
          <w:lang w:val="id-ID"/>
        </w:rPr>
        <w:t>Sharpe Ratio.</w:t>
      </w:r>
      <w:r w:rsidRPr="005553AC">
        <w:rPr>
          <w:rFonts w:ascii="Times New Roman" w:eastAsia="Times New Roman" w:hAnsi="Times New Roman"/>
          <w:bCs/>
          <w:sz w:val="24"/>
          <w:szCs w:val="24"/>
          <w:lang w:val="id-ID"/>
        </w:rPr>
        <w:t xml:space="preserve"> </w:t>
      </w:r>
      <w:r w:rsidRPr="005553AC">
        <w:rPr>
          <w:rFonts w:ascii="Times New Roman" w:hAnsi="Times New Roman"/>
          <w:bCs/>
          <w:sz w:val="24"/>
          <w:szCs w:val="24"/>
          <w:lang w:val="id-ID"/>
        </w:rPr>
        <w:t>Cluster analysis is a technique to group similar observations into many clusters based on the observed values of several variables for each individual (models).</w:t>
      </w:r>
    </w:p>
    <w:p w:rsidR="005553AC" w:rsidRPr="005553AC" w:rsidRDefault="005553AC" w:rsidP="005553AC">
      <w:pPr>
        <w:pStyle w:val="NoSpacing"/>
        <w:ind w:left="720"/>
        <w:jc w:val="both"/>
        <w:rPr>
          <w:rFonts w:ascii="Times New Roman" w:hAnsi="Times New Roman"/>
          <w:bCs/>
          <w:sz w:val="24"/>
          <w:szCs w:val="24"/>
          <w:lang w:val="id-ID"/>
        </w:rPr>
      </w:pPr>
      <w:r w:rsidRPr="005553AC">
        <w:rPr>
          <w:rFonts w:ascii="Times New Roman" w:eastAsia="Times New Roman" w:hAnsi="Times New Roman"/>
          <w:bCs/>
          <w:sz w:val="24"/>
          <w:szCs w:val="24"/>
        </w:rPr>
        <w:t>Proposed dissimilarity measures can be broadly divided into distance measures and correlation-type measures. The distance measure most commonly used is Euclidean distance</w:t>
      </w:r>
      <w:r w:rsidRPr="005553AC">
        <w:rPr>
          <w:rFonts w:ascii="Times New Roman" w:eastAsia="Times New Roman" w:hAnsi="Times New Roman"/>
          <w:bCs/>
          <w:sz w:val="24"/>
          <w:szCs w:val="24"/>
          <w:lang w:val="id-ID"/>
        </w:rPr>
        <w:t xml:space="preserve"> (Everitte, et. al., 2011). </w:t>
      </w:r>
      <w:r w:rsidRPr="005553AC">
        <w:rPr>
          <w:rFonts w:ascii="Times New Roman" w:hAnsi="Times New Roman"/>
          <w:bCs/>
          <w:sz w:val="24"/>
          <w:szCs w:val="24"/>
          <w:lang w:val="id-ID"/>
        </w:rPr>
        <w:t>The Euclidean distance between these two subjects is given by:</w:t>
      </w:r>
    </w:p>
    <w:tbl>
      <w:tblPr>
        <w:tblW w:w="7752" w:type="dxa"/>
        <w:tblInd w:w="108" w:type="dxa"/>
        <w:tblLook w:val="04A0"/>
      </w:tblPr>
      <w:tblGrid>
        <w:gridCol w:w="6210"/>
        <w:gridCol w:w="1542"/>
      </w:tblGrid>
      <w:tr w:rsidR="005553AC" w:rsidRPr="005553AC" w:rsidTr="005553AC">
        <w:tc>
          <w:tcPr>
            <w:tcW w:w="6210" w:type="dxa"/>
            <w:vAlign w:val="center"/>
          </w:tcPr>
          <w:p w:rsidR="005553AC" w:rsidRPr="005553AC" w:rsidRDefault="005553AC" w:rsidP="00386E5B">
            <w:pPr>
              <w:pStyle w:val="NoSpacing"/>
              <w:ind w:left="476"/>
              <w:rPr>
                <w:rFonts w:ascii="Times New Roman" w:eastAsia="Times New Roman" w:hAnsi="Times New Roman"/>
                <w:sz w:val="24"/>
                <w:szCs w:val="24"/>
                <w:lang w:val="id-ID" w:eastAsia="en-GB"/>
              </w:rPr>
            </w:pPr>
            <w:r w:rsidRPr="005553AC">
              <w:rPr>
                <w:rFonts w:ascii="Times New Roman" w:eastAsia="Times New Roman" w:hAnsi="Times New Roman"/>
                <w:sz w:val="24"/>
                <w:szCs w:val="24"/>
                <w:lang w:val="id-ID" w:eastAsia="en-GB"/>
              </w:rPr>
              <w:t xml:space="preserve">                     </w:t>
            </w:r>
            <w:r w:rsidRPr="005553AC">
              <w:rPr>
                <w:rFonts w:ascii="Times New Roman" w:eastAsia="Times New Roman" w:hAnsi="Times New Roman"/>
                <w:noProof/>
                <w:sz w:val="24"/>
                <w:szCs w:val="24"/>
                <w:lang w:val="id-ID" w:eastAsia="id-ID"/>
              </w:rPr>
              <w:drawing>
                <wp:inline distT="0" distB="0" distL="0" distR="0">
                  <wp:extent cx="2033270" cy="666750"/>
                  <wp:effectExtent l="19050" t="0" r="5080" b="0"/>
                  <wp:docPr id="1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2033270" cy="666750"/>
                          </a:xfrm>
                          <a:prstGeom prst="rect">
                            <a:avLst/>
                          </a:prstGeom>
                          <a:noFill/>
                          <a:ln w="9525">
                            <a:noFill/>
                            <a:miter lim="800000"/>
                            <a:headEnd/>
                            <a:tailEnd/>
                          </a:ln>
                        </pic:spPr>
                      </pic:pic>
                    </a:graphicData>
                  </a:graphic>
                </wp:inline>
              </w:drawing>
            </w:r>
          </w:p>
        </w:tc>
        <w:tc>
          <w:tcPr>
            <w:tcW w:w="1542" w:type="dxa"/>
            <w:vAlign w:val="center"/>
          </w:tcPr>
          <w:p w:rsidR="005553AC" w:rsidRPr="005553AC" w:rsidRDefault="005553AC" w:rsidP="005553AC">
            <w:pPr>
              <w:pStyle w:val="NoSpacing"/>
              <w:tabs>
                <w:tab w:val="left" w:pos="0"/>
              </w:tabs>
              <w:ind w:left="-362"/>
              <w:jc w:val="right"/>
              <w:rPr>
                <w:rFonts w:ascii="Times New Roman" w:eastAsia="Times New Roman" w:hAnsi="Times New Roman"/>
                <w:sz w:val="24"/>
                <w:szCs w:val="24"/>
                <w:lang w:val="id-ID" w:eastAsia="id-ID"/>
              </w:rPr>
            </w:pPr>
            <w:r w:rsidRPr="005553AC">
              <w:rPr>
                <w:rFonts w:ascii="Times New Roman" w:eastAsia="Times New Roman" w:hAnsi="Times New Roman"/>
                <w:sz w:val="24"/>
                <w:szCs w:val="24"/>
                <w:lang w:val="id-ID" w:eastAsia="id-ID"/>
              </w:rPr>
              <w:t>(17)</w:t>
            </w:r>
          </w:p>
        </w:tc>
      </w:tr>
    </w:tbl>
    <w:p w:rsidR="005553AC" w:rsidRPr="005553AC" w:rsidRDefault="005553AC" w:rsidP="005553AC">
      <w:pPr>
        <w:pStyle w:val="BodyTextIndent"/>
        <w:tabs>
          <w:tab w:val="left" w:pos="1134"/>
        </w:tabs>
        <w:rPr>
          <w:rFonts w:ascii="Times New Roman" w:hAnsi="Times New Roman"/>
          <w:bCs/>
          <w:sz w:val="24"/>
          <w:szCs w:val="24"/>
          <w:lang w:val="id-ID"/>
        </w:rPr>
      </w:pPr>
    </w:p>
    <w:p w:rsidR="005553AC" w:rsidRPr="005553AC" w:rsidRDefault="005553AC" w:rsidP="005553AC">
      <w:pPr>
        <w:pStyle w:val="BodyTextIndent"/>
        <w:tabs>
          <w:tab w:val="left" w:pos="720"/>
          <w:tab w:val="left" w:pos="1134"/>
        </w:tabs>
        <w:ind w:left="720"/>
        <w:jc w:val="both"/>
        <w:rPr>
          <w:rFonts w:ascii="Times New Roman" w:hAnsi="Times New Roman"/>
          <w:sz w:val="24"/>
          <w:szCs w:val="24"/>
          <w:lang w:val="id-ID" w:eastAsia="en-GB"/>
        </w:rPr>
      </w:pPr>
      <w:r w:rsidRPr="005553AC">
        <w:rPr>
          <w:rFonts w:ascii="Times New Roman" w:hAnsi="Times New Roman"/>
          <w:bCs/>
          <w:sz w:val="24"/>
          <w:szCs w:val="24"/>
          <w:lang w:val="id-ID"/>
        </w:rPr>
        <w:t xml:space="preserve">where </w:t>
      </w:r>
      <w:r w:rsidRPr="005553AC">
        <w:rPr>
          <w:rFonts w:ascii="Times New Roman" w:hAnsi="Times New Roman"/>
          <w:bCs/>
          <w:i/>
          <w:sz w:val="24"/>
          <w:szCs w:val="24"/>
          <w:lang w:val="id-ID"/>
        </w:rPr>
        <w:t>x</w:t>
      </w:r>
      <w:r w:rsidRPr="005553AC">
        <w:rPr>
          <w:rFonts w:ascii="Times New Roman" w:hAnsi="Times New Roman"/>
          <w:bCs/>
          <w:i/>
          <w:sz w:val="24"/>
          <w:szCs w:val="24"/>
          <w:vertAlign w:val="subscript"/>
          <w:lang w:val="id-ID"/>
        </w:rPr>
        <w:t xml:space="preserve">Ai </w:t>
      </w:r>
      <w:r w:rsidRPr="005553AC">
        <w:rPr>
          <w:rFonts w:ascii="Times New Roman" w:hAnsi="Times New Roman"/>
          <w:sz w:val="24"/>
          <w:szCs w:val="24"/>
          <w:lang w:val="id-ID" w:eastAsia="en-GB"/>
        </w:rPr>
        <w:fldChar w:fldCharType="begin"/>
      </w:r>
      <w:r w:rsidRPr="005553AC">
        <w:rPr>
          <w:rFonts w:ascii="Times New Roman" w:hAnsi="Times New Roman"/>
          <w:sz w:val="24"/>
          <w:szCs w:val="24"/>
          <w:lang w:val="id-ID" w:eastAsia="en-GB"/>
        </w:rPr>
        <w:instrText xml:space="preserve"> QUOTE </w:instrText>
      </w:r>
      <m:oMath>
        <m:sSub>
          <m:sSubPr>
            <m:ctrlPr>
              <w:rPr>
                <w:rFonts w:ascii="Cambria Math" w:hAnsi="Times New Roman"/>
                <w:i/>
                <w:sz w:val="24"/>
                <w:szCs w:val="24"/>
                <w:lang w:eastAsia="en-GB"/>
              </w:rPr>
            </m:ctrlPr>
          </m:sSubPr>
          <m:e>
            <m:r>
              <w:rPr>
                <w:rFonts w:ascii="Cambria Math" w:hAnsi="Cambria Math"/>
                <w:sz w:val="24"/>
                <w:szCs w:val="24"/>
                <w:lang w:eastAsia="en-GB"/>
              </w:rPr>
              <m:t>x</m:t>
            </m:r>
          </m:e>
          <m:sub>
            <m:r>
              <w:rPr>
                <w:rFonts w:ascii="Cambria Math" w:hAnsi="Cambria Math"/>
                <w:sz w:val="24"/>
                <w:szCs w:val="24"/>
                <w:lang w:eastAsia="en-GB"/>
              </w:rPr>
              <m:t>Ai</m:t>
            </m:r>
          </m:sub>
        </m:sSub>
      </m:oMath>
      <w:r w:rsidRPr="005553AC">
        <w:rPr>
          <w:rFonts w:ascii="Times New Roman" w:hAnsi="Times New Roman"/>
          <w:sz w:val="24"/>
          <w:szCs w:val="24"/>
          <w:lang w:val="id-ID" w:eastAsia="en-GB"/>
        </w:rPr>
        <w:instrText xml:space="preserve"> </w:instrText>
      </w:r>
      <w:r w:rsidRPr="005553AC">
        <w:rPr>
          <w:rFonts w:ascii="Times New Roman" w:hAnsi="Times New Roman"/>
          <w:sz w:val="24"/>
          <w:szCs w:val="24"/>
          <w:lang w:val="id-ID" w:eastAsia="en-GB"/>
        </w:rPr>
        <w:fldChar w:fldCharType="end"/>
      </w:r>
      <w:r w:rsidRPr="005553AC">
        <w:rPr>
          <w:rFonts w:ascii="Times New Roman" w:hAnsi="Times New Roman"/>
          <w:sz w:val="24"/>
          <w:szCs w:val="24"/>
          <w:lang w:val="id-ID" w:eastAsia="en-GB"/>
        </w:rPr>
        <w:t xml:space="preserve">and </w:t>
      </w:r>
      <w:r w:rsidRPr="005553AC">
        <w:rPr>
          <w:rFonts w:ascii="Times New Roman" w:hAnsi="Times New Roman"/>
          <w:bCs/>
          <w:i/>
          <w:sz w:val="24"/>
          <w:szCs w:val="24"/>
          <w:lang w:val="id-ID"/>
        </w:rPr>
        <w:t>x</w:t>
      </w:r>
      <w:r w:rsidRPr="005553AC">
        <w:rPr>
          <w:rFonts w:ascii="Times New Roman" w:hAnsi="Times New Roman"/>
          <w:bCs/>
          <w:i/>
          <w:sz w:val="24"/>
          <w:szCs w:val="24"/>
          <w:vertAlign w:val="subscript"/>
          <w:lang w:val="id-ID"/>
        </w:rPr>
        <w:t>Bi</w:t>
      </w:r>
      <w:r w:rsidRPr="005553AC">
        <w:rPr>
          <w:rFonts w:ascii="Times New Roman" w:hAnsi="Times New Roman"/>
          <w:sz w:val="24"/>
          <w:szCs w:val="24"/>
          <w:lang w:val="id-ID" w:eastAsia="en-GB"/>
        </w:rPr>
        <w:t xml:space="preserve"> </w:t>
      </w:r>
      <w:r w:rsidRPr="005553AC">
        <w:rPr>
          <w:rFonts w:ascii="Times New Roman" w:hAnsi="Times New Roman"/>
          <w:sz w:val="24"/>
          <w:szCs w:val="24"/>
          <w:lang w:val="id-ID" w:eastAsia="en-GB"/>
        </w:rPr>
        <w:fldChar w:fldCharType="begin"/>
      </w:r>
      <w:r w:rsidRPr="005553AC">
        <w:rPr>
          <w:rFonts w:ascii="Times New Roman" w:hAnsi="Times New Roman"/>
          <w:sz w:val="24"/>
          <w:szCs w:val="24"/>
          <w:lang w:val="id-ID" w:eastAsia="en-GB"/>
        </w:rPr>
        <w:instrText xml:space="preserve"> QUOTE </w:instrText>
      </w:r>
      <m:oMath>
        <m:sSub>
          <m:sSubPr>
            <m:ctrlPr>
              <w:rPr>
                <w:rFonts w:ascii="Cambria Math" w:hAnsi="Times New Roman"/>
                <w:i/>
                <w:sz w:val="24"/>
                <w:szCs w:val="24"/>
                <w:lang w:eastAsia="en-GB"/>
              </w:rPr>
            </m:ctrlPr>
          </m:sSubPr>
          <m:e>
            <m:r>
              <w:rPr>
                <w:rFonts w:ascii="Cambria Math" w:hAnsi="Cambria Math"/>
                <w:sz w:val="24"/>
                <w:szCs w:val="24"/>
                <w:lang w:eastAsia="en-GB"/>
              </w:rPr>
              <m:t>x</m:t>
            </m:r>
          </m:e>
          <m:sub>
            <m:r>
              <w:rPr>
                <w:rFonts w:ascii="Cambria Math" w:hAnsi="Cambria Math"/>
                <w:sz w:val="24"/>
                <w:szCs w:val="24"/>
                <w:lang w:eastAsia="en-GB"/>
              </w:rPr>
              <m:t>Bi</m:t>
            </m:r>
          </m:sub>
        </m:sSub>
      </m:oMath>
      <w:r w:rsidRPr="005553AC">
        <w:rPr>
          <w:rFonts w:ascii="Times New Roman" w:hAnsi="Times New Roman"/>
          <w:sz w:val="24"/>
          <w:szCs w:val="24"/>
          <w:lang w:val="id-ID" w:eastAsia="en-GB"/>
        </w:rPr>
        <w:instrText xml:space="preserve"> </w:instrText>
      </w:r>
      <w:r w:rsidRPr="005553AC">
        <w:rPr>
          <w:rFonts w:ascii="Times New Roman" w:hAnsi="Times New Roman"/>
          <w:sz w:val="24"/>
          <w:szCs w:val="24"/>
          <w:lang w:val="id-ID" w:eastAsia="en-GB"/>
        </w:rPr>
        <w:fldChar w:fldCharType="end"/>
      </w:r>
      <w:r w:rsidRPr="005553AC">
        <w:rPr>
          <w:rFonts w:ascii="Times New Roman" w:hAnsi="Times New Roman"/>
          <w:sz w:val="24"/>
          <w:szCs w:val="24"/>
          <w:lang w:val="id-ID" w:eastAsia="en-GB"/>
        </w:rPr>
        <w:t xml:space="preserve"> are respectively the </w:t>
      </w:r>
      <w:r w:rsidRPr="005553AC">
        <w:rPr>
          <w:rFonts w:ascii="Times New Roman" w:hAnsi="Times New Roman"/>
          <w:i/>
          <w:sz w:val="24"/>
          <w:szCs w:val="24"/>
          <w:lang w:val="id-ID" w:eastAsia="en-GB"/>
        </w:rPr>
        <w:t>i</w:t>
      </w:r>
      <w:r w:rsidRPr="005553AC">
        <w:rPr>
          <w:rFonts w:ascii="Times New Roman" w:hAnsi="Times New Roman"/>
          <w:sz w:val="24"/>
          <w:szCs w:val="24"/>
          <w:lang w:val="id-ID" w:eastAsia="en-GB"/>
        </w:rPr>
        <w:t xml:space="preserve">th stock performance for models </w:t>
      </w:r>
      <w:r w:rsidRPr="005553AC">
        <w:rPr>
          <w:rFonts w:ascii="Times New Roman" w:hAnsi="Times New Roman"/>
          <w:i/>
          <w:sz w:val="24"/>
          <w:szCs w:val="24"/>
          <w:lang w:val="id-ID" w:eastAsia="en-GB"/>
        </w:rPr>
        <w:t xml:space="preserve">A </w:t>
      </w:r>
      <w:r w:rsidRPr="005553AC">
        <w:rPr>
          <w:rFonts w:ascii="Times New Roman" w:hAnsi="Times New Roman"/>
          <w:sz w:val="24"/>
          <w:szCs w:val="24"/>
          <w:lang w:val="id-ID" w:eastAsia="en-GB"/>
        </w:rPr>
        <w:t xml:space="preserve">and </w:t>
      </w:r>
      <w:r w:rsidRPr="005553AC">
        <w:rPr>
          <w:rFonts w:ascii="Times New Roman" w:hAnsi="Times New Roman"/>
          <w:i/>
          <w:sz w:val="24"/>
          <w:szCs w:val="24"/>
          <w:lang w:val="id-ID" w:eastAsia="en-GB"/>
        </w:rPr>
        <w:t>B</w:t>
      </w:r>
      <w:r w:rsidRPr="005553AC">
        <w:rPr>
          <w:rFonts w:ascii="Times New Roman" w:hAnsi="Times New Roman"/>
          <w:sz w:val="24"/>
          <w:szCs w:val="24"/>
          <w:lang w:val="id-ID" w:eastAsia="en-GB"/>
        </w:rPr>
        <w:t xml:space="preserve">. </w:t>
      </w:r>
      <w:r w:rsidRPr="005553AC">
        <w:rPr>
          <w:rFonts w:ascii="Times New Roman" w:hAnsi="Times New Roman"/>
          <w:sz w:val="24"/>
          <w:szCs w:val="24"/>
          <w:lang w:val="id-ID" w:eastAsia="en-GB"/>
        </w:rPr>
        <w:fldChar w:fldCharType="begin"/>
      </w:r>
      <w:r w:rsidRPr="005553AC">
        <w:rPr>
          <w:rFonts w:ascii="Times New Roman" w:hAnsi="Times New Roman"/>
          <w:sz w:val="24"/>
          <w:szCs w:val="24"/>
          <w:lang w:val="id-ID" w:eastAsia="en-GB"/>
        </w:rPr>
        <w:instrText xml:space="preserve"> QUOTE </w:instrText>
      </w:r>
      <m:oMath>
        <m:sSub>
          <m:sSubPr>
            <m:ctrlPr>
              <w:rPr>
                <w:rFonts w:ascii="Cambria Math" w:hAnsi="Times New Roman"/>
                <w:i/>
                <w:sz w:val="24"/>
                <w:szCs w:val="24"/>
                <w:lang w:val="id-ID" w:eastAsia="en-GB"/>
              </w:rPr>
            </m:ctrlPr>
          </m:sSubPr>
          <m:e>
            <m:r>
              <w:rPr>
                <w:rFonts w:ascii="Cambria Math" w:hAnsi="Cambria Math"/>
                <w:sz w:val="24"/>
                <w:szCs w:val="24"/>
                <w:lang w:eastAsia="en-GB"/>
              </w:rPr>
              <m:t>d</m:t>
            </m:r>
          </m:e>
          <m:sub>
            <m:r>
              <w:rPr>
                <w:rFonts w:ascii="Cambria Math" w:hAnsi="Cambria Math"/>
                <w:sz w:val="24"/>
                <w:szCs w:val="24"/>
                <w:lang w:eastAsia="en-GB"/>
              </w:rPr>
              <m:t>AB</m:t>
            </m:r>
          </m:sub>
        </m:sSub>
      </m:oMath>
      <w:r w:rsidRPr="005553AC">
        <w:rPr>
          <w:rFonts w:ascii="Times New Roman" w:hAnsi="Times New Roman"/>
          <w:sz w:val="24"/>
          <w:szCs w:val="24"/>
          <w:lang w:val="id-ID" w:eastAsia="en-GB"/>
        </w:rPr>
        <w:instrText xml:space="preserve"> </w:instrText>
      </w:r>
      <w:r w:rsidRPr="005553AC">
        <w:rPr>
          <w:rFonts w:ascii="Times New Roman" w:hAnsi="Times New Roman"/>
          <w:sz w:val="24"/>
          <w:szCs w:val="24"/>
          <w:lang w:val="id-ID" w:eastAsia="en-GB"/>
        </w:rPr>
        <w:fldChar w:fldCharType="end"/>
      </w:r>
      <w:r w:rsidRPr="005553AC">
        <w:rPr>
          <w:rFonts w:ascii="Times New Roman" w:hAnsi="Times New Roman"/>
          <w:sz w:val="24"/>
          <w:szCs w:val="24"/>
          <w:lang w:val="id-ID" w:eastAsia="en-GB"/>
        </w:rPr>
        <w:t xml:space="preserve"> </w:t>
      </w:r>
      <w:r w:rsidRPr="005553AC">
        <w:rPr>
          <w:rFonts w:ascii="Times New Roman" w:hAnsi="Times New Roman"/>
          <w:bCs/>
          <w:i/>
          <w:sz w:val="24"/>
          <w:szCs w:val="24"/>
          <w:lang w:val="id-ID"/>
        </w:rPr>
        <w:t>d</w:t>
      </w:r>
      <w:r w:rsidRPr="005553AC">
        <w:rPr>
          <w:rFonts w:ascii="Times New Roman" w:hAnsi="Times New Roman"/>
          <w:bCs/>
          <w:i/>
          <w:sz w:val="24"/>
          <w:szCs w:val="24"/>
          <w:vertAlign w:val="subscript"/>
          <w:lang w:val="id-ID"/>
        </w:rPr>
        <w:t>AB</w:t>
      </w:r>
      <w:r w:rsidRPr="005553AC">
        <w:rPr>
          <w:rFonts w:ascii="Times New Roman" w:hAnsi="Times New Roman"/>
          <w:sz w:val="24"/>
          <w:szCs w:val="24"/>
          <w:lang w:val="id-ID" w:eastAsia="en-GB"/>
        </w:rPr>
        <w:t xml:space="preserve"> can be interpreted as the physical distance between </w:t>
      </w:r>
      <w:r w:rsidRPr="005553AC">
        <w:rPr>
          <w:rFonts w:ascii="Times New Roman" w:hAnsi="Times New Roman"/>
          <w:i/>
          <w:sz w:val="24"/>
          <w:szCs w:val="24"/>
          <w:lang w:val="id-ID" w:eastAsia="en-GB"/>
        </w:rPr>
        <w:t xml:space="preserve">A </w:t>
      </w:r>
      <w:r w:rsidRPr="005553AC">
        <w:rPr>
          <w:rFonts w:ascii="Times New Roman" w:hAnsi="Times New Roman"/>
          <w:sz w:val="24"/>
          <w:szCs w:val="24"/>
          <w:lang w:val="id-ID" w:eastAsia="en-GB"/>
        </w:rPr>
        <w:t xml:space="preserve">and </w:t>
      </w:r>
      <w:r w:rsidRPr="005553AC">
        <w:rPr>
          <w:rFonts w:ascii="Times New Roman" w:hAnsi="Times New Roman"/>
          <w:i/>
          <w:sz w:val="24"/>
          <w:szCs w:val="24"/>
          <w:lang w:val="id-ID" w:eastAsia="en-GB"/>
        </w:rPr>
        <w:t>B</w:t>
      </w:r>
      <w:r w:rsidRPr="005553AC">
        <w:rPr>
          <w:rFonts w:ascii="Times New Roman" w:hAnsi="Times New Roman"/>
          <w:sz w:val="24"/>
          <w:szCs w:val="24"/>
          <w:lang w:val="id-ID" w:eastAsia="en-GB"/>
        </w:rPr>
        <w:t>.</w:t>
      </w:r>
    </w:p>
    <w:p w:rsidR="005553AC" w:rsidRPr="005553AC" w:rsidRDefault="005553AC" w:rsidP="005553AC">
      <w:pPr>
        <w:pStyle w:val="BodyTextIndent"/>
        <w:numPr>
          <w:ilvl w:val="0"/>
          <w:numId w:val="16"/>
        </w:numPr>
        <w:tabs>
          <w:tab w:val="left" w:pos="709"/>
        </w:tabs>
        <w:spacing w:after="0"/>
        <w:ind w:left="709" w:hanging="283"/>
        <w:jc w:val="both"/>
        <w:rPr>
          <w:rFonts w:ascii="Times New Roman" w:hAnsi="Times New Roman"/>
          <w:sz w:val="24"/>
          <w:szCs w:val="24"/>
        </w:rPr>
      </w:pPr>
      <w:r w:rsidRPr="005553AC">
        <w:rPr>
          <w:rFonts w:ascii="Times New Roman" w:hAnsi="Times New Roman"/>
          <w:bCs/>
          <w:sz w:val="24"/>
          <w:szCs w:val="24"/>
          <w:lang w:val="en-US"/>
        </w:rPr>
        <w:t>C</w:t>
      </w:r>
      <w:r w:rsidRPr="005553AC">
        <w:rPr>
          <w:rFonts w:ascii="Times New Roman" w:hAnsi="Times New Roman"/>
          <w:bCs/>
          <w:sz w:val="24"/>
          <w:szCs w:val="24"/>
          <w:lang w:val="id-ID"/>
        </w:rPr>
        <w:t xml:space="preserve">reate a chart of stock performance for five modifications of </w:t>
      </w:r>
      <w:r w:rsidR="002D5CC1">
        <w:rPr>
          <w:rFonts w:ascii="Times New Roman" w:hAnsi="Times New Roman"/>
          <w:bCs/>
          <w:sz w:val="24"/>
          <w:szCs w:val="24"/>
          <w:lang w:val="id-ID"/>
        </w:rPr>
        <w:t xml:space="preserve">the </w:t>
      </w:r>
      <w:r w:rsidRPr="005553AC">
        <w:rPr>
          <w:rFonts w:ascii="Times New Roman" w:hAnsi="Times New Roman"/>
          <w:bCs/>
          <w:sz w:val="24"/>
          <w:szCs w:val="24"/>
          <w:lang w:val="id-ID"/>
        </w:rPr>
        <w:t>Sharpe Ratio.</w:t>
      </w:r>
    </w:p>
    <w:p w:rsidR="005553AC" w:rsidRPr="005553AC" w:rsidRDefault="005553AC" w:rsidP="005553AC">
      <w:pPr>
        <w:pStyle w:val="ADICParagraphothers"/>
        <w:rPr>
          <w:lang w:val="id-ID"/>
        </w:rPr>
      </w:pPr>
    </w:p>
    <w:p w:rsidR="00CC4F53" w:rsidRPr="00CC4F53" w:rsidRDefault="00CC4F53" w:rsidP="009D00F6">
      <w:pPr>
        <w:pStyle w:val="ADICParagraphothers"/>
        <w:spacing w:before="100" w:beforeAutospacing="1" w:after="100" w:afterAutospacing="1" w:line="276" w:lineRule="auto"/>
        <w:rPr>
          <w:rFonts w:ascii="Times New Roman" w:hAnsi="Times New Roman"/>
          <w:b/>
          <w:sz w:val="24"/>
          <w:szCs w:val="24"/>
        </w:rPr>
      </w:pPr>
      <w:r w:rsidRPr="00CC4F53">
        <w:rPr>
          <w:rFonts w:ascii="Times New Roman" w:hAnsi="Times New Roman"/>
          <w:b/>
          <w:sz w:val="24"/>
          <w:szCs w:val="24"/>
        </w:rPr>
        <w:t>RESULT AND DISCUSSION</w:t>
      </w: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rPr>
        <w:t>Stock and Risk</w:t>
      </w:r>
      <w:r w:rsidRPr="00072B00">
        <w:rPr>
          <w:rFonts w:ascii="Times New Roman" w:hAnsi="Times New Roman"/>
          <w:b/>
          <w:sz w:val="24"/>
          <w:szCs w:val="24"/>
          <w:lang w:val="id-ID"/>
        </w:rPr>
        <w:t xml:space="preserve"> </w:t>
      </w:r>
      <w:r w:rsidRPr="00072B00">
        <w:rPr>
          <w:rFonts w:ascii="Times New Roman" w:hAnsi="Times New Roman"/>
          <w:b/>
          <w:sz w:val="24"/>
          <w:szCs w:val="24"/>
        </w:rPr>
        <w:t xml:space="preserve">Return </w:t>
      </w:r>
    </w:p>
    <w:p w:rsidR="005553AC" w:rsidRPr="00D56850" w:rsidRDefault="005553AC" w:rsidP="005553AC">
      <w:pPr>
        <w:pStyle w:val="NoSpacing"/>
        <w:jc w:val="both"/>
        <w:rPr>
          <w:rFonts w:ascii="Times New Roman" w:hAnsi="Times New Roman"/>
          <w:b/>
          <w:sz w:val="24"/>
          <w:szCs w:val="24"/>
          <w:lang w:val="id-ID"/>
        </w:rPr>
      </w:pPr>
    </w:p>
    <w:p w:rsidR="005553AC" w:rsidRPr="00072B00" w:rsidRDefault="005553AC" w:rsidP="005553AC">
      <w:pPr>
        <w:pStyle w:val="NoSpacing"/>
        <w:jc w:val="both"/>
        <w:rPr>
          <w:rFonts w:ascii="Times New Roman" w:eastAsia="Times New Roman" w:hAnsi="Times New Roman"/>
          <w:bCs/>
          <w:sz w:val="24"/>
          <w:szCs w:val="24"/>
          <w:lang w:val="id-ID"/>
        </w:rPr>
      </w:pPr>
      <w:r w:rsidRPr="00072B00">
        <w:rPr>
          <w:rFonts w:ascii="Times New Roman" w:eastAsia="Times New Roman" w:hAnsi="Times New Roman"/>
          <w:bCs/>
          <w:sz w:val="24"/>
          <w:szCs w:val="24"/>
        </w:rPr>
        <w:t xml:space="preserve">Based on table </w:t>
      </w:r>
      <w:r w:rsidRPr="00072B00">
        <w:rPr>
          <w:rFonts w:ascii="Times New Roman" w:eastAsia="Times New Roman" w:hAnsi="Times New Roman"/>
          <w:bCs/>
          <w:sz w:val="24"/>
          <w:szCs w:val="24"/>
          <w:lang w:val="id-ID"/>
        </w:rPr>
        <w:t>2</w:t>
      </w:r>
      <w:r>
        <w:rPr>
          <w:rFonts w:ascii="Times New Roman" w:eastAsia="Times New Roman" w:hAnsi="Times New Roman"/>
          <w:bCs/>
          <w:sz w:val="24"/>
          <w:szCs w:val="24"/>
        </w:rPr>
        <w:t>,  eight</w:t>
      </w:r>
      <w:r w:rsidRPr="00072B00">
        <w:rPr>
          <w:rFonts w:ascii="Times New Roman" w:eastAsia="Times New Roman" w:hAnsi="Times New Roman"/>
          <w:bCs/>
          <w:sz w:val="24"/>
          <w:szCs w:val="24"/>
        </w:rPr>
        <w:t xml:space="preserve"> stocks have a positive return with th</w:t>
      </w:r>
      <w:r>
        <w:rPr>
          <w:rFonts w:ascii="Times New Roman" w:eastAsia="Times New Roman" w:hAnsi="Times New Roman"/>
          <w:bCs/>
          <w:sz w:val="24"/>
          <w:szCs w:val="24"/>
        </w:rPr>
        <w:t>e highest UNVR, and three</w:t>
      </w:r>
      <w:r w:rsidRPr="00072B00">
        <w:rPr>
          <w:rFonts w:ascii="Times New Roman" w:eastAsia="Times New Roman" w:hAnsi="Times New Roman"/>
          <w:bCs/>
          <w:sz w:val="24"/>
          <w:szCs w:val="24"/>
        </w:rPr>
        <w:t xml:space="preserve"> stocks have a negative return with the lowest LSIP. While the stocks that have the lowest volatility are </w:t>
      </w:r>
      <w:r w:rsidRPr="00072B00">
        <w:rPr>
          <w:rFonts w:ascii="Times New Roman" w:eastAsia="Times New Roman" w:hAnsi="Times New Roman"/>
          <w:bCs/>
          <w:sz w:val="24"/>
          <w:szCs w:val="24"/>
          <w:lang w:val="id-ID"/>
        </w:rPr>
        <w:t>UNVR</w:t>
      </w:r>
      <w:r w:rsidRPr="00072B00">
        <w:rPr>
          <w:rFonts w:ascii="Times New Roman" w:eastAsia="Times New Roman" w:hAnsi="Times New Roman"/>
          <w:bCs/>
          <w:sz w:val="24"/>
          <w:szCs w:val="24"/>
        </w:rPr>
        <w:t xml:space="preserve"> and stocks that have the highest volatility are </w:t>
      </w:r>
      <w:r w:rsidRPr="00072B00">
        <w:rPr>
          <w:rFonts w:ascii="Times New Roman" w:eastAsia="Times New Roman" w:hAnsi="Times New Roman"/>
          <w:bCs/>
          <w:sz w:val="24"/>
          <w:szCs w:val="24"/>
          <w:lang w:val="id-ID"/>
        </w:rPr>
        <w:t>LSIP</w:t>
      </w:r>
      <w:r w:rsidRPr="00072B00">
        <w:rPr>
          <w:rFonts w:ascii="Times New Roman" w:eastAsia="Times New Roman" w:hAnsi="Times New Roman"/>
          <w:bCs/>
          <w:sz w:val="24"/>
          <w:szCs w:val="24"/>
        </w:rPr>
        <w:t xml:space="preserve">. </w:t>
      </w:r>
    </w:p>
    <w:p w:rsidR="005553AC" w:rsidRPr="00072B00" w:rsidRDefault="005553AC" w:rsidP="005553AC">
      <w:pPr>
        <w:pStyle w:val="NoSpacing"/>
        <w:jc w:val="both"/>
        <w:rPr>
          <w:rFonts w:ascii="Times New Roman" w:eastAsia="Times New Roman" w:hAnsi="Times New Roman"/>
          <w:bCs/>
          <w:sz w:val="24"/>
          <w:szCs w:val="24"/>
          <w:lang w:val="id-ID"/>
        </w:rPr>
      </w:pPr>
      <w:r w:rsidRPr="00072B00">
        <w:rPr>
          <w:rFonts w:ascii="Times New Roman" w:eastAsia="Times New Roman" w:hAnsi="Times New Roman"/>
          <w:bCs/>
          <w:sz w:val="24"/>
          <w:szCs w:val="24"/>
          <w:lang w:val="id-ID"/>
        </w:rPr>
        <w:t>Before calculating VaR with equation 6, the normality test is done for the return o</w:t>
      </w:r>
      <w:r>
        <w:rPr>
          <w:rFonts w:ascii="Times New Roman" w:eastAsia="Times New Roman" w:hAnsi="Times New Roman"/>
          <w:bCs/>
          <w:sz w:val="24"/>
          <w:szCs w:val="24"/>
          <w:lang w:val="id-ID"/>
        </w:rPr>
        <w:t>f each stock.  From table 3, seven</w:t>
      </w:r>
      <w:r w:rsidRPr="00072B00">
        <w:rPr>
          <w:rFonts w:ascii="Times New Roman" w:eastAsia="Times New Roman" w:hAnsi="Times New Roman"/>
          <w:bCs/>
          <w:sz w:val="24"/>
          <w:szCs w:val="24"/>
          <w:lang w:val="id-ID"/>
        </w:rPr>
        <w:t xml:space="preserve"> shares are normally </w:t>
      </w:r>
      <w:r>
        <w:rPr>
          <w:rFonts w:ascii="Times New Roman" w:eastAsia="Times New Roman" w:hAnsi="Times New Roman"/>
          <w:bCs/>
          <w:sz w:val="24"/>
          <w:szCs w:val="24"/>
          <w:lang w:val="id-ID"/>
        </w:rPr>
        <w:t xml:space="preserve">distributed and </w:t>
      </w:r>
      <w:r>
        <w:rPr>
          <w:rFonts w:ascii="Times New Roman" w:eastAsia="Times New Roman" w:hAnsi="Times New Roman"/>
          <w:bCs/>
          <w:sz w:val="24"/>
          <w:szCs w:val="24"/>
        </w:rPr>
        <w:t>three</w:t>
      </w:r>
      <w:r w:rsidRPr="00072B00">
        <w:rPr>
          <w:rFonts w:ascii="Times New Roman" w:eastAsia="Times New Roman" w:hAnsi="Times New Roman"/>
          <w:bCs/>
          <w:sz w:val="24"/>
          <w:szCs w:val="24"/>
        </w:rPr>
        <w:t xml:space="preserve"> </w:t>
      </w:r>
      <w:r w:rsidRPr="00072B00">
        <w:rPr>
          <w:rFonts w:ascii="Times New Roman" w:eastAsia="Times New Roman" w:hAnsi="Times New Roman"/>
          <w:bCs/>
          <w:sz w:val="24"/>
          <w:szCs w:val="24"/>
          <w:lang w:val="id-ID"/>
        </w:rPr>
        <w:t>of them have non-normally distribution. After VaR calculation at a confidence level of 95%, the stock that has the lowest VaR (risk) is UNVR and the highest is LSIP.</w:t>
      </w:r>
    </w:p>
    <w:p w:rsidR="005553AC" w:rsidRPr="00072B00" w:rsidRDefault="005553AC" w:rsidP="005553AC">
      <w:pPr>
        <w:pStyle w:val="NoSpacing"/>
        <w:jc w:val="both"/>
        <w:rPr>
          <w:rFonts w:ascii="Times New Roman" w:eastAsia="Times New Roman" w:hAnsi="Times New Roman"/>
          <w:bCs/>
          <w:sz w:val="24"/>
          <w:szCs w:val="24"/>
          <w:lang w:val="id-ID"/>
        </w:rPr>
      </w:pPr>
    </w:p>
    <w:p w:rsidR="005553AC" w:rsidRPr="005553AC" w:rsidRDefault="005553AC" w:rsidP="005553AC">
      <w:pPr>
        <w:pStyle w:val="NoSpacing"/>
        <w:jc w:val="center"/>
        <w:rPr>
          <w:rFonts w:ascii="Times New Roman" w:hAnsi="Times New Roman"/>
          <w:b/>
          <w:sz w:val="24"/>
          <w:szCs w:val="24"/>
          <w:lang w:val="id-ID"/>
        </w:rPr>
      </w:pPr>
      <w:r w:rsidRPr="005553AC">
        <w:rPr>
          <w:rFonts w:ascii="Times New Roman" w:hAnsi="Times New Roman"/>
          <w:sz w:val="24"/>
          <w:szCs w:val="24"/>
          <w:lang w:val="id-ID"/>
        </w:rPr>
        <w:t>Table 2</w:t>
      </w:r>
      <w:r w:rsidRPr="005553AC">
        <w:rPr>
          <w:rFonts w:ascii="Times New Roman" w:hAnsi="Times New Roman"/>
          <w:sz w:val="24"/>
          <w:szCs w:val="24"/>
        </w:rPr>
        <w:t>.</w:t>
      </w:r>
      <w:r w:rsidRPr="005553AC">
        <w:rPr>
          <w:rFonts w:ascii="Times New Roman" w:hAnsi="Times New Roman"/>
          <w:b/>
          <w:sz w:val="24"/>
          <w:szCs w:val="24"/>
        </w:rPr>
        <w:t xml:space="preserve"> </w:t>
      </w:r>
      <w:r w:rsidRPr="005553AC">
        <w:rPr>
          <w:rFonts w:ascii="Times New Roman" w:hAnsi="Times New Roman"/>
          <w:b/>
          <w:sz w:val="24"/>
          <w:szCs w:val="24"/>
          <w:lang w:val="id-ID"/>
        </w:rPr>
        <w:t xml:space="preserve"> </w:t>
      </w:r>
      <w:r w:rsidRPr="005553AC">
        <w:rPr>
          <w:rFonts w:ascii="Times New Roman" w:hAnsi="Times New Roman"/>
          <w:sz w:val="24"/>
          <w:szCs w:val="24"/>
        </w:rPr>
        <w:t xml:space="preserve">Descriptive </w:t>
      </w:r>
      <w:r w:rsidRPr="005553AC">
        <w:rPr>
          <w:rFonts w:ascii="Times New Roman" w:hAnsi="Times New Roman"/>
          <w:sz w:val="24"/>
          <w:szCs w:val="24"/>
          <w:lang w:val="id-ID"/>
        </w:rPr>
        <w:t>S</w:t>
      </w:r>
      <w:r w:rsidRPr="005553AC">
        <w:rPr>
          <w:rFonts w:ascii="Times New Roman" w:hAnsi="Times New Roman"/>
          <w:sz w:val="24"/>
          <w:szCs w:val="24"/>
        </w:rPr>
        <w:t xml:space="preserve">tatistics of </w:t>
      </w:r>
      <w:r w:rsidRPr="005553AC">
        <w:rPr>
          <w:rFonts w:ascii="Times New Roman" w:hAnsi="Times New Roman"/>
          <w:sz w:val="24"/>
          <w:szCs w:val="24"/>
          <w:lang w:val="id-ID"/>
        </w:rPr>
        <w:t>S</w:t>
      </w:r>
      <w:r w:rsidRPr="005553AC">
        <w:rPr>
          <w:rFonts w:ascii="Times New Roman" w:hAnsi="Times New Roman"/>
          <w:sz w:val="24"/>
          <w:szCs w:val="24"/>
        </w:rPr>
        <w:t xml:space="preserve">tock </w:t>
      </w:r>
      <w:r w:rsidRPr="005553AC">
        <w:rPr>
          <w:rFonts w:ascii="Times New Roman" w:hAnsi="Times New Roman"/>
          <w:sz w:val="24"/>
          <w:szCs w:val="24"/>
          <w:lang w:val="id-ID"/>
        </w:rPr>
        <w:t>R</w:t>
      </w:r>
      <w:r w:rsidRPr="005553AC">
        <w:rPr>
          <w:rFonts w:ascii="Times New Roman" w:hAnsi="Times New Roman"/>
          <w:sz w:val="24"/>
          <w:szCs w:val="24"/>
        </w:rPr>
        <w:t>eturns</w:t>
      </w:r>
    </w:p>
    <w:p w:rsidR="005553AC" w:rsidRPr="00072B00" w:rsidRDefault="005553AC" w:rsidP="005553AC">
      <w:pPr>
        <w:pStyle w:val="NoSpacing"/>
        <w:jc w:val="center"/>
        <w:rPr>
          <w:rFonts w:ascii="Times New Roman" w:hAnsi="Times New Roman"/>
          <w:b/>
          <w:sz w:val="24"/>
          <w:szCs w:val="24"/>
        </w:rPr>
      </w:pPr>
    </w:p>
    <w:tbl>
      <w:tblPr>
        <w:tblW w:w="6392" w:type="dxa"/>
        <w:jc w:val="center"/>
        <w:tblLook w:val="04A0"/>
      </w:tblPr>
      <w:tblGrid>
        <w:gridCol w:w="548"/>
        <w:gridCol w:w="840"/>
        <w:gridCol w:w="1150"/>
        <w:gridCol w:w="1276"/>
        <w:gridCol w:w="1446"/>
        <w:gridCol w:w="1132"/>
      </w:tblGrid>
      <w:tr w:rsidR="005553AC" w:rsidRPr="005553AC" w:rsidTr="005553AC">
        <w:trPr>
          <w:jc w:val="center"/>
        </w:trPr>
        <w:tc>
          <w:tcPr>
            <w:tcW w:w="548" w:type="dxa"/>
            <w:tcBorders>
              <w:top w:val="single" w:sz="4" w:space="0" w:color="auto"/>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No.</w:t>
            </w:r>
          </w:p>
        </w:tc>
        <w:tc>
          <w:tcPr>
            <w:tcW w:w="840" w:type="dxa"/>
            <w:tcBorders>
              <w:top w:val="single" w:sz="4" w:space="0" w:color="auto"/>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Stock</w:t>
            </w:r>
          </w:p>
        </w:tc>
        <w:tc>
          <w:tcPr>
            <w:tcW w:w="1150" w:type="dxa"/>
            <w:tcBorders>
              <w:top w:val="single" w:sz="4" w:space="0" w:color="auto"/>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Mean</w:t>
            </w:r>
          </w:p>
        </w:tc>
        <w:tc>
          <w:tcPr>
            <w:tcW w:w="1276" w:type="dxa"/>
            <w:tcBorders>
              <w:top w:val="single" w:sz="4" w:space="0" w:color="auto"/>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eastAsia="id-ID"/>
              </w:rPr>
              <w:t>Std. Dev</w:t>
            </w:r>
          </w:p>
        </w:tc>
        <w:tc>
          <w:tcPr>
            <w:tcW w:w="1446" w:type="dxa"/>
            <w:tcBorders>
              <w:top w:val="single" w:sz="4" w:space="0" w:color="auto"/>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Skewness</w:t>
            </w:r>
          </w:p>
        </w:tc>
        <w:tc>
          <w:tcPr>
            <w:tcW w:w="1132" w:type="dxa"/>
            <w:tcBorders>
              <w:top w:val="single" w:sz="4" w:space="0" w:color="auto"/>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Kurtosis</w:t>
            </w:r>
          </w:p>
        </w:tc>
      </w:tr>
      <w:tr w:rsidR="005553AC" w:rsidRPr="005553AC" w:rsidTr="005553AC">
        <w:trPr>
          <w:jc w:val="center"/>
        </w:trPr>
        <w:tc>
          <w:tcPr>
            <w:tcW w:w="548" w:type="dxa"/>
            <w:tcBorders>
              <w:top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w:t>
            </w:r>
          </w:p>
        </w:tc>
        <w:tc>
          <w:tcPr>
            <w:tcW w:w="840" w:type="dxa"/>
            <w:tcBorders>
              <w:top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AALI</w:t>
            </w:r>
          </w:p>
        </w:tc>
        <w:tc>
          <w:tcPr>
            <w:tcW w:w="1150" w:type="dxa"/>
            <w:tcBorders>
              <w:top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-0,00380</w:t>
            </w:r>
          </w:p>
        </w:tc>
        <w:tc>
          <w:tcPr>
            <w:tcW w:w="1276" w:type="dxa"/>
            <w:tcBorders>
              <w:top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0,09258</w:t>
            </w:r>
          </w:p>
        </w:tc>
        <w:tc>
          <w:tcPr>
            <w:tcW w:w="1446" w:type="dxa"/>
            <w:tcBorders>
              <w:top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0,25383</w:t>
            </w:r>
          </w:p>
        </w:tc>
        <w:tc>
          <w:tcPr>
            <w:tcW w:w="1132" w:type="dxa"/>
            <w:tcBorders>
              <w:top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0,22914</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2</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ASII</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0,00579</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0,06647</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-0,61964</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0,35356</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3</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eastAsia="id-ID"/>
              </w:rPr>
            </w:pPr>
            <w:r w:rsidRPr="005553AC">
              <w:rPr>
                <w:rFonts w:ascii="Times New Roman" w:eastAsia="Times New Roman" w:hAnsi="Times New Roman"/>
                <w:sz w:val="20"/>
                <w:szCs w:val="20"/>
                <w:lang w:eastAsia="id-ID"/>
              </w:rPr>
              <w:t>ASRI</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0,00323</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0,11692</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-0,36251</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0,88152</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4</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INTP</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0,00289</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0,09266</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-0,37337</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1,04592</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5</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KLBF</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0,00927</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0,06622</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-0,10148</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0,98370</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6</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eastAsia="id-ID"/>
              </w:rPr>
            </w:pPr>
            <w:r w:rsidRPr="005553AC">
              <w:rPr>
                <w:rFonts w:ascii="Times New Roman" w:eastAsia="Times New Roman" w:hAnsi="Times New Roman"/>
                <w:sz w:val="20"/>
                <w:szCs w:val="20"/>
                <w:lang w:eastAsia="id-ID"/>
              </w:rPr>
              <w:t>LPKR</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-0,00419</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0,10645</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0,29967</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-0,04430</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eastAsia="id-ID"/>
              </w:rPr>
            </w:pPr>
            <w:r w:rsidRPr="005553AC">
              <w:rPr>
                <w:rFonts w:ascii="Times New Roman" w:eastAsia="Times New Roman" w:hAnsi="Times New Roman"/>
                <w:sz w:val="20"/>
                <w:szCs w:val="20"/>
                <w:lang w:val="id-ID" w:eastAsia="id-ID"/>
              </w:rPr>
              <w:t>7</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LSIP</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-0,00450</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0,12478</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-0,03704</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0,23869</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eastAsia="id-ID"/>
              </w:rPr>
            </w:pPr>
            <w:r w:rsidRPr="005553AC">
              <w:rPr>
                <w:rFonts w:ascii="Times New Roman" w:eastAsia="Times New Roman" w:hAnsi="Times New Roman"/>
                <w:sz w:val="20"/>
                <w:szCs w:val="20"/>
                <w:lang w:val="id-ID" w:eastAsia="id-ID"/>
              </w:rPr>
              <w:t>8</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SMGR</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0,00225</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0,07788</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-0,14287</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-0,07650</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eastAsia="id-ID"/>
              </w:rPr>
            </w:pPr>
            <w:r w:rsidRPr="005553AC">
              <w:rPr>
                <w:rFonts w:ascii="Times New Roman" w:eastAsia="Times New Roman" w:hAnsi="Times New Roman"/>
                <w:sz w:val="20"/>
                <w:szCs w:val="20"/>
                <w:lang w:val="id-ID" w:eastAsia="id-ID"/>
              </w:rPr>
              <w:t>9</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TLKM</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0,01065</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0,06325</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0,03285</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0,22968</w:t>
            </w:r>
          </w:p>
        </w:tc>
      </w:tr>
      <w:tr w:rsidR="005553AC" w:rsidRPr="005553AC" w:rsidTr="005553AC">
        <w:trPr>
          <w:jc w:val="center"/>
        </w:trPr>
        <w:tc>
          <w:tcPr>
            <w:tcW w:w="548"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eastAsia="id-ID"/>
              </w:rPr>
            </w:pPr>
            <w:r w:rsidRPr="005553AC">
              <w:rPr>
                <w:rFonts w:ascii="Times New Roman" w:eastAsia="Times New Roman" w:hAnsi="Times New Roman"/>
                <w:sz w:val="20"/>
                <w:szCs w:val="20"/>
                <w:lang w:eastAsia="id-ID"/>
              </w:rPr>
              <w:t>UNTR</w:t>
            </w:r>
          </w:p>
        </w:tc>
        <w:tc>
          <w:tcPr>
            <w:tcW w:w="1150"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0,00727</w:t>
            </w:r>
          </w:p>
        </w:tc>
        <w:tc>
          <w:tcPr>
            <w:tcW w:w="127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0,08159</w:t>
            </w:r>
          </w:p>
        </w:tc>
        <w:tc>
          <w:tcPr>
            <w:tcW w:w="1446"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-0,28606</w:t>
            </w:r>
          </w:p>
        </w:tc>
        <w:tc>
          <w:tcPr>
            <w:tcW w:w="113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0,36664</w:t>
            </w:r>
          </w:p>
        </w:tc>
      </w:tr>
      <w:tr w:rsidR="005553AC" w:rsidRPr="005553AC" w:rsidTr="005553AC">
        <w:trPr>
          <w:jc w:val="center"/>
        </w:trPr>
        <w:tc>
          <w:tcPr>
            <w:tcW w:w="548" w:type="dxa"/>
            <w:tcBorders>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11</w:t>
            </w:r>
          </w:p>
        </w:tc>
        <w:tc>
          <w:tcPr>
            <w:tcW w:w="840" w:type="dxa"/>
            <w:tcBorders>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UNVR</w:t>
            </w:r>
          </w:p>
        </w:tc>
        <w:tc>
          <w:tcPr>
            <w:tcW w:w="1150"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0,01273</w:t>
            </w:r>
          </w:p>
        </w:tc>
        <w:tc>
          <w:tcPr>
            <w:tcW w:w="1276"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0,06176</w:t>
            </w:r>
          </w:p>
        </w:tc>
        <w:tc>
          <w:tcPr>
            <w:tcW w:w="1446"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-0,00093</w:t>
            </w:r>
          </w:p>
        </w:tc>
        <w:tc>
          <w:tcPr>
            <w:tcW w:w="1132"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 xml:space="preserve"> 2,11869</w:t>
            </w:r>
          </w:p>
        </w:tc>
      </w:tr>
    </w:tbl>
    <w:p w:rsidR="005553AC" w:rsidRPr="00072B00" w:rsidRDefault="005553AC" w:rsidP="005553AC">
      <w:pPr>
        <w:pStyle w:val="NoSpacing"/>
        <w:jc w:val="both"/>
        <w:rPr>
          <w:rFonts w:ascii="Times New Roman" w:eastAsia="Times New Roman" w:hAnsi="Times New Roman"/>
          <w:bCs/>
          <w:sz w:val="24"/>
          <w:szCs w:val="24"/>
          <w:lang w:val="id-ID"/>
        </w:rPr>
      </w:pPr>
    </w:p>
    <w:p w:rsidR="005553AC" w:rsidRPr="005553AC" w:rsidRDefault="005553AC" w:rsidP="005553AC">
      <w:pPr>
        <w:pStyle w:val="NoSpacing"/>
        <w:jc w:val="center"/>
        <w:rPr>
          <w:rFonts w:ascii="Times New Roman" w:hAnsi="Times New Roman"/>
          <w:b/>
          <w:sz w:val="24"/>
          <w:szCs w:val="24"/>
          <w:lang w:val="id-ID"/>
        </w:rPr>
      </w:pPr>
      <w:r w:rsidRPr="005553AC">
        <w:rPr>
          <w:rFonts w:ascii="Times New Roman" w:hAnsi="Times New Roman"/>
          <w:sz w:val="24"/>
          <w:szCs w:val="24"/>
        </w:rPr>
        <w:t>Tab</w:t>
      </w:r>
      <w:r w:rsidRPr="005553AC">
        <w:rPr>
          <w:rFonts w:ascii="Times New Roman" w:hAnsi="Times New Roman"/>
          <w:sz w:val="24"/>
          <w:szCs w:val="24"/>
          <w:lang w:val="id-ID"/>
        </w:rPr>
        <w:t>le</w:t>
      </w:r>
      <w:r w:rsidRPr="005553AC">
        <w:rPr>
          <w:rFonts w:ascii="Times New Roman" w:hAnsi="Times New Roman"/>
          <w:sz w:val="24"/>
          <w:szCs w:val="24"/>
        </w:rPr>
        <w:t xml:space="preserve"> </w:t>
      </w:r>
      <w:r w:rsidRPr="005553AC">
        <w:rPr>
          <w:rFonts w:ascii="Times New Roman" w:hAnsi="Times New Roman"/>
          <w:sz w:val="24"/>
          <w:szCs w:val="24"/>
          <w:lang w:val="id-ID"/>
        </w:rPr>
        <w:t>3</w:t>
      </w:r>
      <w:r w:rsidRPr="005553AC">
        <w:rPr>
          <w:rFonts w:ascii="Times New Roman" w:hAnsi="Times New Roman"/>
          <w:sz w:val="24"/>
          <w:szCs w:val="24"/>
        </w:rPr>
        <w:t>.</w:t>
      </w:r>
      <w:r w:rsidRPr="005553AC">
        <w:rPr>
          <w:rFonts w:ascii="Times New Roman" w:hAnsi="Times New Roman"/>
          <w:b/>
          <w:sz w:val="24"/>
          <w:szCs w:val="24"/>
        </w:rPr>
        <w:t xml:space="preserve"> </w:t>
      </w:r>
      <w:r w:rsidRPr="005553AC">
        <w:rPr>
          <w:rFonts w:ascii="Times New Roman" w:hAnsi="Times New Roman"/>
          <w:b/>
          <w:sz w:val="24"/>
          <w:szCs w:val="24"/>
          <w:lang w:val="id-ID"/>
        </w:rPr>
        <w:t xml:space="preserve"> </w:t>
      </w:r>
      <w:r w:rsidRPr="005553AC">
        <w:rPr>
          <w:rFonts w:ascii="Times New Roman" w:hAnsi="Times New Roman"/>
          <w:sz w:val="24"/>
          <w:szCs w:val="24"/>
        </w:rPr>
        <w:t xml:space="preserve">Distribution </w:t>
      </w:r>
      <w:r w:rsidRPr="005553AC">
        <w:rPr>
          <w:rFonts w:ascii="Times New Roman" w:hAnsi="Times New Roman"/>
          <w:sz w:val="24"/>
          <w:szCs w:val="24"/>
          <w:lang w:val="id-ID"/>
        </w:rPr>
        <w:t xml:space="preserve">of Return </w:t>
      </w:r>
      <w:r w:rsidRPr="005553AC">
        <w:rPr>
          <w:rFonts w:ascii="Times New Roman" w:hAnsi="Times New Roman"/>
          <w:sz w:val="24"/>
          <w:szCs w:val="24"/>
        </w:rPr>
        <w:t xml:space="preserve">and Value at Risk (VaR) of </w:t>
      </w:r>
      <w:r w:rsidRPr="005553AC">
        <w:rPr>
          <w:rFonts w:ascii="Times New Roman" w:hAnsi="Times New Roman"/>
          <w:sz w:val="24"/>
          <w:szCs w:val="24"/>
          <w:lang w:val="id-ID"/>
        </w:rPr>
        <w:t>S</w:t>
      </w:r>
      <w:r w:rsidRPr="005553AC">
        <w:rPr>
          <w:rFonts w:ascii="Times New Roman" w:hAnsi="Times New Roman"/>
          <w:sz w:val="24"/>
          <w:szCs w:val="24"/>
        </w:rPr>
        <w:t>tock</w:t>
      </w:r>
    </w:p>
    <w:p w:rsidR="005553AC" w:rsidRPr="00072B00" w:rsidRDefault="005553AC" w:rsidP="005553AC">
      <w:pPr>
        <w:pStyle w:val="NoSpacing"/>
        <w:jc w:val="center"/>
        <w:rPr>
          <w:rFonts w:ascii="Times New Roman" w:hAnsi="Times New Roman"/>
          <w:b/>
          <w:sz w:val="24"/>
          <w:szCs w:val="24"/>
          <w:lang w:val="id-ID"/>
        </w:rPr>
      </w:pPr>
    </w:p>
    <w:tbl>
      <w:tblPr>
        <w:tblW w:w="4794" w:type="dxa"/>
        <w:jc w:val="center"/>
        <w:tblLook w:val="04A0"/>
      </w:tblPr>
      <w:tblGrid>
        <w:gridCol w:w="540"/>
        <w:gridCol w:w="840"/>
        <w:gridCol w:w="2441"/>
        <w:gridCol w:w="973"/>
      </w:tblGrid>
      <w:tr w:rsidR="005553AC" w:rsidRPr="005553AC" w:rsidTr="005553AC">
        <w:trPr>
          <w:trHeight w:val="134"/>
          <w:jc w:val="center"/>
        </w:trPr>
        <w:tc>
          <w:tcPr>
            <w:tcW w:w="540" w:type="dxa"/>
            <w:tcBorders>
              <w:top w:val="single" w:sz="4" w:space="0" w:color="auto"/>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w:t>
            </w:r>
          </w:p>
        </w:tc>
        <w:tc>
          <w:tcPr>
            <w:tcW w:w="840" w:type="dxa"/>
            <w:tcBorders>
              <w:top w:val="single" w:sz="4" w:space="0" w:color="auto"/>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Stock</w:t>
            </w:r>
          </w:p>
        </w:tc>
        <w:tc>
          <w:tcPr>
            <w:tcW w:w="2441" w:type="dxa"/>
            <w:tcBorders>
              <w:top w:val="single" w:sz="4" w:space="0" w:color="auto"/>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bCs/>
                <w:sz w:val="20"/>
                <w:szCs w:val="20"/>
                <w:lang w:val="id-ID" w:eastAsia="id-ID"/>
              </w:rPr>
              <w:t>Distribution of Return</w:t>
            </w:r>
          </w:p>
        </w:tc>
        <w:tc>
          <w:tcPr>
            <w:tcW w:w="973" w:type="dxa"/>
            <w:tcBorders>
              <w:top w:val="single" w:sz="4" w:space="0" w:color="auto"/>
              <w:bottom w:val="single" w:sz="4" w:space="0" w:color="auto"/>
            </w:tcBorders>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|VaR</w:t>
            </w:r>
            <w:r w:rsidRPr="005553AC">
              <w:rPr>
                <w:rFonts w:ascii="Times New Roman" w:eastAsia="Times New Roman" w:hAnsi="Times New Roman"/>
                <w:sz w:val="20"/>
                <w:szCs w:val="20"/>
                <w:vertAlign w:val="subscript"/>
                <w:lang w:val="id-ID" w:eastAsia="id-ID"/>
              </w:rPr>
              <w:t>95%</w:t>
            </w:r>
            <w:r w:rsidRPr="005553AC">
              <w:rPr>
                <w:rFonts w:ascii="Times New Roman" w:eastAsia="Times New Roman" w:hAnsi="Times New Roman"/>
                <w:sz w:val="20"/>
                <w:szCs w:val="20"/>
                <w:lang w:val="id-ID" w:eastAsia="id-ID"/>
              </w:rPr>
              <w:t>|</w:t>
            </w:r>
          </w:p>
        </w:tc>
      </w:tr>
      <w:tr w:rsidR="005553AC" w:rsidRPr="005553AC" w:rsidTr="005553AC">
        <w:trPr>
          <w:jc w:val="center"/>
        </w:trPr>
        <w:tc>
          <w:tcPr>
            <w:tcW w:w="540" w:type="dxa"/>
            <w:tcBorders>
              <w:top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w:t>
            </w:r>
          </w:p>
        </w:tc>
        <w:tc>
          <w:tcPr>
            <w:tcW w:w="840" w:type="dxa"/>
            <w:tcBorders>
              <w:top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AALI</w:t>
            </w:r>
          </w:p>
        </w:tc>
        <w:tc>
          <w:tcPr>
            <w:tcW w:w="2441" w:type="dxa"/>
            <w:tcBorders>
              <w:top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tcBorders>
              <w:top w:val="single" w:sz="4" w:space="0" w:color="auto"/>
            </w:tcBorders>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0,15229</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2</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ASII</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bCs/>
                <w:sz w:val="20"/>
                <w:szCs w:val="20"/>
                <w:lang w:val="id-ID" w:eastAsia="id-ID"/>
              </w:rPr>
              <w:t>Non 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0,12106</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3</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ASRI</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bCs/>
                <w:sz w:val="20"/>
                <w:szCs w:val="20"/>
                <w:lang w:val="id-ID" w:eastAsia="id-ID"/>
              </w:rPr>
              <w:t>Non 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0,20438</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4</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INTP</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0,15242</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5</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KLBF</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0,10893</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6</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LPKR</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0,17511</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7</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LSIP</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0,20526</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8</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SMGR</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0,12811</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9</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TLKM</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0,10404</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w:t>
            </w:r>
          </w:p>
        </w:tc>
        <w:tc>
          <w:tcPr>
            <w:tcW w:w="840"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UNTR</w:t>
            </w:r>
          </w:p>
        </w:tc>
        <w:tc>
          <w:tcPr>
            <w:tcW w:w="2441" w:type="dxa"/>
            <w:shd w:val="clear" w:color="auto" w:fill="auto"/>
          </w:tcPr>
          <w:p w:rsidR="005553AC" w:rsidRPr="005553AC" w:rsidRDefault="005553AC" w:rsidP="00386E5B">
            <w:pPr>
              <w:spacing w:after="0" w:line="240" w:lineRule="auto"/>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Normally</w:t>
            </w:r>
          </w:p>
        </w:tc>
        <w:tc>
          <w:tcPr>
            <w:tcW w:w="973" w:type="dxa"/>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0,13421</w:t>
            </w:r>
            <w:r w:rsidRPr="005553AC">
              <w:rPr>
                <w:rFonts w:ascii="Times New Roman" w:eastAsia="Times New Roman" w:hAnsi="Times New Roman"/>
                <w:sz w:val="20"/>
                <w:szCs w:val="20"/>
                <w:lang w:val="id-ID" w:eastAsia="id-ID"/>
              </w:rPr>
              <w:tab/>
            </w:r>
          </w:p>
        </w:tc>
      </w:tr>
      <w:tr w:rsidR="005553AC" w:rsidRPr="005553AC" w:rsidTr="005553AC">
        <w:trPr>
          <w:jc w:val="center"/>
        </w:trPr>
        <w:tc>
          <w:tcPr>
            <w:tcW w:w="540" w:type="dxa"/>
            <w:tcBorders>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11</w:t>
            </w:r>
          </w:p>
        </w:tc>
        <w:tc>
          <w:tcPr>
            <w:tcW w:w="840" w:type="dxa"/>
            <w:tcBorders>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UNVR</w:t>
            </w:r>
          </w:p>
        </w:tc>
        <w:tc>
          <w:tcPr>
            <w:tcW w:w="2441"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bCs/>
                <w:sz w:val="20"/>
                <w:szCs w:val="20"/>
                <w:lang w:val="id-ID" w:eastAsia="id-ID"/>
              </w:rPr>
              <w:t>Non normally</w:t>
            </w:r>
          </w:p>
        </w:tc>
        <w:tc>
          <w:tcPr>
            <w:tcW w:w="973" w:type="dxa"/>
            <w:tcBorders>
              <w:bottom w:val="single" w:sz="4" w:space="0" w:color="auto"/>
            </w:tcBorders>
            <w:shd w:val="clear" w:color="auto" w:fill="auto"/>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0,10161</w:t>
            </w:r>
            <w:r w:rsidRPr="005553AC">
              <w:rPr>
                <w:rFonts w:ascii="Times New Roman" w:eastAsia="Times New Roman" w:hAnsi="Times New Roman"/>
                <w:sz w:val="20"/>
                <w:szCs w:val="20"/>
                <w:lang w:val="id-ID" w:eastAsia="id-ID"/>
              </w:rPr>
              <w:tab/>
            </w:r>
          </w:p>
        </w:tc>
      </w:tr>
    </w:tbl>
    <w:p w:rsidR="005553AC" w:rsidRPr="00072B00" w:rsidRDefault="005553AC" w:rsidP="005553AC">
      <w:pPr>
        <w:pStyle w:val="NoSpacing"/>
        <w:ind w:firstLine="720"/>
        <w:jc w:val="both"/>
        <w:rPr>
          <w:rFonts w:ascii="Times New Roman" w:eastAsia="Times New Roman" w:hAnsi="Times New Roman"/>
          <w:bCs/>
          <w:sz w:val="24"/>
          <w:szCs w:val="24"/>
          <w:lang w:val="id-ID"/>
        </w:rPr>
      </w:pPr>
    </w:p>
    <w:p w:rsidR="005553AC" w:rsidRPr="00072B00"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The Performance Analysis of Sharia Stocks using Modification of Sharpe Ratio</w:t>
      </w:r>
    </w:p>
    <w:p w:rsidR="005553AC" w:rsidRDefault="005553AC" w:rsidP="005553AC">
      <w:pPr>
        <w:pStyle w:val="NoSpacing"/>
        <w:jc w:val="both"/>
        <w:rPr>
          <w:rFonts w:ascii="Times New Roman" w:eastAsia="Times New Roman" w:hAnsi="Times New Roman"/>
          <w:bCs/>
          <w:sz w:val="24"/>
          <w:szCs w:val="24"/>
          <w:lang w:val="id-ID"/>
        </w:rPr>
      </w:pPr>
    </w:p>
    <w:p w:rsidR="005553AC" w:rsidRPr="00072B00" w:rsidRDefault="005553AC" w:rsidP="005553AC">
      <w:pPr>
        <w:pStyle w:val="NoSpacing"/>
        <w:jc w:val="both"/>
        <w:rPr>
          <w:rFonts w:ascii="Times New Roman" w:eastAsia="Times New Roman" w:hAnsi="Times New Roman"/>
          <w:bCs/>
          <w:sz w:val="24"/>
          <w:szCs w:val="24"/>
          <w:lang w:val="id-ID"/>
        </w:rPr>
      </w:pPr>
      <w:r w:rsidRPr="00072B00">
        <w:rPr>
          <w:rFonts w:ascii="Times New Roman" w:eastAsia="Times New Roman" w:hAnsi="Times New Roman"/>
          <w:bCs/>
          <w:sz w:val="24"/>
          <w:szCs w:val="24"/>
          <w:lang w:val="id-ID"/>
        </w:rPr>
        <w:t xml:space="preserve">In table 4, five modifications of </w:t>
      </w:r>
      <w:r>
        <w:rPr>
          <w:rFonts w:ascii="Times New Roman" w:eastAsia="Times New Roman" w:hAnsi="Times New Roman"/>
          <w:bCs/>
          <w:sz w:val="24"/>
          <w:szCs w:val="24"/>
          <w:lang w:val="id-ID"/>
        </w:rPr>
        <w:t xml:space="preserve">the </w:t>
      </w:r>
      <w:r w:rsidRPr="00072B00">
        <w:rPr>
          <w:rFonts w:ascii="Times New Roman" w:eastAsia="Times New Roman" w:hAnsi="Times New Roman"/>
          <w:bCs/>
          <w:sz w:val="24"/>
          <w:szCs w:val="24"/>
          <w:lang w:val="id-ID"/>
        </w:rPr>
        <w:t xml:space="preserve">Sharpe </w:t>
      </w:r>
      <w:r>
        <w:rPr>
          <w:rFonts w:ascii="Times New Roman" w:eastAsia="Times New Roman" w:hAnsi="Times New Roman"/>
          <w:bCs/>
          <w:sz w:val="24"/>
          <w:szCs w:val="24"/>
          <w:lang w:val="id-ID"/>
        </w:rPr>
        <w:t>R</w:t>
      </w:r>
      <w:r w:rsidRPr="00072B00">
        <w:rPr>
          <w:rFonts w:ascii="Times New Roman" w:eastAsia="Times New Roman" w:hAnsi="Times New Roman"/>
          <w:bCs/>
          <w:sz w:val="24"/>
          <w:szCs w:val="24"/>
          <w:lang w:val="id-ID"/>
        </w:rPr>
        <w:t>atio, namely MSR, MSR-NRF, MSR-ZR, MSR-INF, and MSR-GDP rank almost the same for all stocks. Slightly different is the MSR-NRF model, which places the shares of  INTP, SMGR, and ASRI ranked 6th, 7th, and 8th, while the other four models rank 7th, 8th, and 6th.</w:t>
      </w:r>
    </w:p>
    <w:p w:rsidR="005553AC" w:rsidRDefault="005553AC" w:rsidP="005553AC">
      <w:pPr>
        <w:pStyle w:val="NoSpacing"/>
        <w:ind w:firstLine="720"/>
        <w:jc w:val="both"/>
        <w:rPr>
          <w:rFonts w:ascii="Times New Roman" w:eastAsia="Times New Roman" w:hAnsi="Times New Roman"/>
          <w:bCs/>
          <w:sz w:val="24"/>
          <w:szCs w:val="24"/>
          <w:lang w:val="id-ID"/>
        </w:rPr>
      </w:pPr>
    </w:p>
    <w:p w:rsidR="005553AC" w:rsidRPr="005553AC" w:rsidRDefault="005553AC" w:rsidP="005553AC">
      <w:pPr>
        <w:pStyle w:val="NoSpacing"/>
        <w:jc w:val="center"/>
        <w:rPr>
          <w:rFonts w:ascii="Times New Roman" w:hAnsi="Times New Roman"/>
          <w:b/>
          <w:sz w:val="24"/>
          <w:szCs w:val="24"/>
          <w:lang w:val="id-ID"/>
        </w:rPr>
      </w:pPr>
      <w:r w:rsidRPr="005553AC">
        <w:rPr>
          <w:rFonts w:ascii="Times New Roman" w:hAnsi="Times New Roman"/>
          <w:sz w:val="24"/>
          <w:szCs w:val="24"/>
        </w:rPr>
        <w:t>Ta</w:t>
      </w:r>
      <w:r w:rsidRPr="005553AC">
        <w:rPr>
          <w:rFonts w:ascii="Times New Roman" w:hAnsi="Times New Roman"/>
          <w:sz w:val="24"/>
          <w:szCs w:val="24"/>
          <w:lang w:val="id-ID"/>
        </w:rPr>
        <w:t>ble 4</w:t>
      </w:r>
      <w:r w:rsidRPr="005553AC">
        <w:rPr>
          <w:rFonts w:ascii="Times New Roman" w:hAnsi="Times New Roman"/>
          <w:sz w:val="24"/>
          <w:szCs w:val="24"/>
        </w:rPr>
        <w:t>.</w:t>
      </w:r>
      <w:r w:rsidRPr="005553AC">
        <w:rPr>
          <w:rFonts w:ascii="Times New Roman" w:hAnsi="Times New Roman"/>
          <w:b/>
          <w:sz w:val="24"/>
          <w:szCs w:val="24"/>
        </w:rPr>
        <w:t xml:space="preserve"> </w:t>
      </w:r>
      <w:r w:rsidRPr="005553AC">
        <w:rPr>
          <w:rFonts w:ascii="Times New Roman" w:hAnsi="Times New Roman"/>
          <w:b/>
          <w:sz w:val="24"/>
          <w:szCs w:val="24"/>
          <w:lang w:val="id-ID"/>
        </w:rPr>
        <w:t xml:space="preserve"> </w:t>
      </w:r>
      <w:r w:rsidRPr="005553AC">
        <w:rPr>
          <w:rFonts w:ascii="Times New Roman" w:hAnsi="Times New Roman"/>
          <w:sz w:val="24"/>
          <w:szCs w:val="24"/>
        </w:rPr>
        <w:t xml:space="preserve">Value and Ranking of Stock Performance </w:t>
      </w:r>
      <w:r w:rsidRPr="005553AC">
        <w:rPr>
          <w:rFonts w:ascii="Times New Roman" w:hAnsi="Times New Roman"/>
          <w:sz w:val="24"/>
          <w:szCs w:val="24"/>
          <w:lang w:val="id-ID"/>
        </w:rPr>
        <w:t>with Modification of Sharpe Ratio</w:t>
      </w:r>
    </w:p>
    <w:p w:rsidR="005553AC" w:rsidRPr="00072B00" w:rsidRDefault="005553AC" w:rsidP="005553AC">
      <w:pPr>
        <w:pStyle w:val="NoSpacing"/>
        <w:jc w:val="center"/>
        <w:rPr>
          <w:rFonts w:ascii="Times New Roman" w:hAnsi="Times New Roman"/>
          <w:b/>
          <w:sz w:val="24"/>
          <w:szCs w:val="24"/>
          <w:lang w:val="id-ID"/>
        </w:rPr>
      </w:pPr>
    </w:p>
    <w:tbl>
      <w:tblPr>
        <w:tblW w:w="9230" w:type="dxa"/>
        <w:jc w:val="center"/>
        <w:tblInd w:w="92" w:type="dxa"/>
        <w:tblLook w:val="04A0"/>
      </w:tblPr>
      <w:tblGrid>
        <w:gridCol w:w="805"/>
        <w:gridCol w:w="966"/>
        <w:gridCol w:w="683"/>
        <w:gridCol w:w="966"/>
        <w:gridCol w:w="849"/>
        <w:gridCol w:w="966"/>
        <w:gridCol w:w="683"/>
        <w:gridCol w:w="966"/>
        <w:gridCol w:w="683"/>
        <w:gridCol w:w="966"/>
        <w:gridCol w:w="697"/>
      </w:tblGrid>
      <w:tr w:rsidR="005553AC" w:rsidRPr="005553AC" w:rsidTr="00386E5B">
        <w:trPr>
          <w:trHeight w:val="71"/>
          <w:jc w:val="center"/>
        </w:trPr>
        <w:tc>
          <w:tcPr>
            <w:tcW w:w="805" w:type="dxa"/>
            <w:vMerge w:val="restart"/>
            <w:tcBorders>
              <w:top w:val="single" w:sz="4" w:space="0" w:color="auto"/>
            </w:tcBorders>
            <w:shd w:val="clear" w:color="auto" w:fill="auto"/>
            <w:noWrap/>
            <w:vAlign w:val="bottom"/>
            <w:hideMark/>
          </w:tcPr>
          <w:p w:rsidR="005553AC" w:rsidRPr="005553AC" w:rsidRDefault="005553AC" w:rsidP="00386E5B">
            <w:pPr>
              <w:pStyle w:val="NoSpacing"/>
              <w:rPr>
                <w:rFonts w:ascii="Times New Roman" w:hAnsi="Times New Roman"/>
                <w:b/>
                <w:sz w:val="20"/>
                <w:szCs w:val="20"/>
                <w:lang w:val="id-ID" w:eastAsia="id-ID"/>
              </w:rPr>
            </w:pPr>
            <w:r w:rsidRPr="005553AC">
              <w:rPr>
                <w:rFonts w:ascii="Times New Roman" w:hAnsi="Times New Roman"/>
                <w:b/>
                <w:sz w:val="20"/>
                <w:szCs w:val="20"/>
                <w:lang w:val="id-ID" w:eastAsia="id-ID"/>
              </w:rPr>
              <w:t>Stock</w:t>
            </w:r>
          </w:p>
        </w:tc>
        <w:tc>
          <w:tcPr>
            <w:tcW w:w="1649" w:type="dxa"/>
            <w:gridSpan w:val="2"/>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val="id-ID" w:eastAsia="id-ID"/>
              </w:rPr>
            </w:pPr>
            <w:r w:rsidRPr="005553AC">
              <w:rPr>
                <w:rFonts w:ascii="Times New Roman" w:hAnsi="Times New Roman"/>
                <w:b/>
                <w:sz w:val="20"/>
                <w:szCs w:val="20"/>
                <w:lang w:eastAsia="id-ID"/>
              </w:rPr>
              <w:t>MSR</w:t>
            </w:r>
          </w:p>
        </w:tc>
        <w:tc>
          <w:tcPr>
            <w:tcW w:w="1815" w:type="dxa"/>
            <w:gridSpan w:val="2"/>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eastAsia="id-ID"/>
              </w:rPr>
            </w:pPr>
            <w:r w:rsidRPr="005553AC">
              <w:rPr>
                <w:rFonts w:ascii="Times New Roman" w:hAnsi="Times New Roman"/>
                <w:b/>
                <w:sz w:val="20"/>
                <w:szCs w:val="20"/>
                <w:lang w:eastAsia="id-ID"/>
              </w:rPr>
              <w:t>MSR - NRF</w:t>
            </w:r>
          </w:p>
        </w:tc>
        <w:tc>
          <w:tcPr>
            <w:tcW w:w="1649" w:type="dxa"/>
            <w:gridSpan w:val="2"/>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eastAsia="id-ID"/>
              </w:rPr>
            </w:pPr>
            <w:r w:rsidRPr="005553AC">
              <w:rPr>
                <w:rFonts w:ascii="Times New Roman" w:hAnsi="Times New Roman"/>
                <w:b/>
                <w:sz w:val="20"/>
                <w:szCs w:val="20"/>
                <w:lang w:eastAsia="id-ID"/>
              </w:rPr>
              <w:t>MSR - Z R</w:t>
            </w:r>
          </w:p>
        </w:tc>
        <w:tc>
          <w:tcPr>
            <w:tcW w:w="1649" w:type="dxa"/>
            <w:gridSpan w:val="2"/>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val="id-ID" w:eastAsia="id-ID"/>
              </w:rPr>
            </w:pPr>
            <w:r w:rsidRPr="005553AC">
              <w:rPr>
                <w:rFonts w:ascii="Times New Roman" w:hAnsi="Times New Roman"/>
                <w:b/>
                <w:sz w:val="20"/>
                <w:szCs w:val="20"/>
                <w:lang w:eastAsia="id-ID"/>
              </w:rPr>
              <w:t>MSR - INF</w:t>
            </w:r>
          </w:p>
        </w:tc>
        <w:tc>
          <w:tcPr>
            <w:tcW w:w="1663" w:type="dxa"/>
            <w:gridSpan w:val="2"/>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eastAsia="id-ID"/>
              </w:rPr>
            </w:pPr>
            <w:r w:rsidRPr="005553AC">
              <w:rPr>
                <w:rFonts w:ascii="Times New Roman" w:hAnsi="Times New Roman"/>
                <w:b/>
                <w:sz w:val="20"/>
                <w:szCs w:val="20"/>
                <w:lang w:eastAsia="id-ID"/>
              </w:rPr>
              <w:t>MSR - GDP</w:t>
            </w:r>
          </w:p>
        </w:tc>
      </w:tr>
      <w:tr w:rsidR="005553AC" w:rsidRPr="005553AC" w:rsidTr="00386E5B">
        <w:trPr>
          <w:trHeight w:val="71"/>
          <w:jc w:val="center"/>
        </w:trPr>
        <w:tc>
          <w:tcPr>
            <w:tcW w:w="805" w:type="dxa"/>
            <w:vMerge/>
            <w:tcBorders>
              <w:bottom w:val="single" w:sz="4" w:space="0" w:color="auto"/>
            </w:tcBorders>
            <w:shd w:val="clear" w:color="auto" w:fill="auto"/>
            <w:vAlign w:val="center"/>
            <w:hideMark/>
          </w:tcPr>
          <w:p w:rsidR="005553AC" w:rsidRPr="005553AC" w:rsidRDefault="005553AC" w:rsidP="00386E5B">
            <w:pPr>
              <w:pStyle w:val="NoSpacing"/>
              <w:rPr>
                <w:rFonts w:ascii="Times New Roman" w:hAnsi="Times New Roman"/>
                <w:b/>
                <w:sz w:val="20"/>
                <w:szCs w:val="20"/>
                <w:lang w:eastAsia="id-ID"/>
              </w:rPr>
            </w:pP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val="id-ID" w:eastAsia="id-ID"/>
              </w:rPr>
            </w:pPr>
            <w:r w:rsidRPr="005553AC">
              <w:rPr>
                <w:rFonts w:ascii="Times New Roman" w:hAnsi="Times New Roman"/>
                <w:b/>
                <w:sz w:val="20"/>
                <w:szCs w:val="20"/>
                <w:lang w:val="id-ID" w:eastAsia="id-ID"/>
              </w:rPr>
              <w:t>Value</w:t>
            </w:r>
          </w:p>
        </w:tc>
        <w:tc>
          <w:tcPr>
            <w:tcW w:w="683"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eastAsia="id-ID"/>
              </w:rPr>
            </w:pPr>
            <w:r w:rsidRPr="005553AC">
              <w:rPr>
                <w:rFonts w:ascii="Times New Roman" w:hAnsi="Times New Roman"/>
                <w:b/>
                <w:sz w:val="20"/>
                <w:szCs w:val="20"/>
                <w:lang w:eastAsia="id-ID"/>
              </w:rPr>
              <w:t>Rank</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val="id-ID" w:eastAsia="id-ID"/>
              </w:rPr>
            </w:pPr>
            <w:r w:rsidRPr="005553AC">
              <w:rPr>
                <w:rFonts w:ascii="Times New Roman" w:hAnsi="Times New Roman"/>
                <w:b/>
                <w:sz w:val="20"/>
                <w:szCs w:val="20"/>
                <w:lang w:val="id-ID" w:eastAsia="id-ID"/>
              </w:rPr>
              <w:t>Value</w:t>
            </w:r>
          </w:p>
        </w:tc>
        <w:tc>
          <w:tcPr>
            <w:tcW w:w="849"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eastAsia="id-ID"/>
              </w:rPr>
            </w:pPr>
            <w:r w:rsidRPr="005553AC">
              <w:rPr>
                <w:rFonts w:ascii="Times New Roman" w:hAnsi="Times New Roman"/>
                <w:b/>
                <w:sz w:val="20"/>
                <w:szCs w:val="20"/>
                <w:lang w:eastAsia="id-ID"/>
              </w:rPr>
              <w:t>Rank</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val="id-ID" w:eastAsia="id-ID"/>
              </w:rPr>
            </w:pPr>
            <w:r w:rsidRPr="005553AC">
              <w:rPr>
                <w:rFonts w:ascii="Times New Roman" w:hAnsi="Times New Roman"/>
                <w:b/>
                <w:sz w:val="20"/>
                <w:szCs w:val="20"/>
                <w:lang w:val="id-ID" w:eastAsia="id-ID"/>
              </w:rPr>
              <w:t>Value</w:t>
            </w:r>
          </w:p>
        </w:tc>
        <w:tc>
          <w:tcPr>
            <w:tcW w:w="683"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eastAsia="id-ID"/>
              </w:rPr>
            </w:pPr>
            <w:r w:rsidRPr="005553AC">
              <w:rPr>
                <w:rFonts w:ascii="Times New Roman" w:hAnsi="Times New Roman"/>
                <w:b/>
                <w:sz w:val="20"/>
                <w:szCs w:val="20"/>
                <w:lang w:eastAsia="id-ID"/>
              </w:rPr>
              <w:t>Rank</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val="id-ID" w:eastAsia="id-ID"/>
              </w:rPr>
            </w:pPr>
            <w:r w:rsidRPr="005553AC">
              <w:rPr>
                <w:rFonts w:ascii="Times New Roman" w:hAnsi="Times New Roman"/>
                <w:b/>
                <w:sz w:val="20"/>
                <w:szCs w:val="20"/>
                <w:lang w:val="id-ID" w:eastAsia="id-ID"/>
              </w:rPr>
              <w:t>Value</w:t>
            </w:r>
          </w:p>
        </w:tc>
        <w:tc>
          <w:tcPr>
            <w:tcW w:w="683"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eastAsia="id-ID"/>
              </w:rPr>
            </w:pPr>
            <w:r w:rsidRPr="005553AC">
              <w:rPr>
                <w:rFonts w:ascii="Times New Roman" w:hAnsi="Times New Roman"/>
                <w:b/>
                <w:sz w:val="20"/>
                <w:szCs w:val="20"/>
                <w:lang w:eastAsia="id-ID"/>
              </w:rPr>
              <w:t>Rank</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b/>
                <w:sz w:val="20"/>
                <w:szCs w:val="20"/>
                <w:lang w:val="id-ID" w:eastAsia="id-ID"/>
              </w:rPr>
            </w:pPr>
            <w:r w:rsidRPr="005553AC">
              <w:rPr>
                <w:rFonts w:ascii="Times New Roman" w:hAnsi="Times New Roman"/>
                <w:b/>
                <w:sz w:val="20"/>
                <w:szCs w:val="20"/>
                <w:lang w:val="id-ID" w:eastAsia="id-ID"/>
              </w:rPr>
              <w:t>Value</w:t>
            </w:r>
          </w:p>
        </w:tc>
        <w:tc>
          <w:tcPr>
            <w:tcW w:w="697" w:type="dxa"/>
            <w:tcBorders>
              <w:bottom w:val="single" w:sz="4" w:space="0" w:color="auto"/>
            </w:tcBorders>
            <w:shd w:val="clear" w:color="auto" w:fill="auto"/>
            <w:noWrap/>
            <w:vAlign w:val="bottom"/>
            <w:hideMark/>
          </w:tcPr>
          <w:p w:rsidR="005553AC" w:rsidRPr="005553AC" w:rsidRDefault="005553AC" w:rsidP="00386E5B">
            <w:pPr>
              <w:pStyle w:val="NoSpacing"/>
              <w:rPr>
                <w:rFonts w:ascii="Times New Roman" w:hAnsi="Times New Roman"/>
                <w:b/>
                <w:sz w:val="20"/>
                <w:szCs w:val="20"/>
                <w:lang w:eastAsia="id-ID"/>
              </w:rPr>
            </w:pPr>
            <w:r w:rsidRPr="005553AC">
              <w:rPr>
                <w:rFonts w:ascii="Times New Roman" w:hAnsi="Times New Roman"/>
                <w:b/>
                <w:sz w:val="20"/>
                <w:szCs w:val="20"/>
                <w:lang w:eastAsia="id-ID"/>
              </w:rPr>
              <w:t>Rank</w:t>
            </w:r>
          </w:p>
        </w:tc>
      </w:tr>
      <w:tr w:rsidR="005553AC" w:rsidRPr="005553AC" w:rsidTr="00386E5B">
        <w:trPr>
          <w:trHeight w:val="71"/>
          <w:jc w:val="center"/>
        </w:trPr>
        <w:tc>
          <w:tcPr>
            <w:tcW w:w="805" w:type="dxa"/>
            <w:tcBorders>
              <w:top w:val="single" w:sz="4" w:space="0" w:color="auto"/>
            </w:tcBorders>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AALI</w:t>
            </w:r>
          </w:p>
        </w:tc>
        <w:tc>
          <w:tcPr>
            <w:tcW w:w="966"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rPr>
              <w:t>-0,06165</w:t>
            </w:r>
          </w:p>
        </w:tc>
        <w:tc>
          <w:tcPr>
            <w:tcW w:w="683"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11</w:t>
            </w:r>
          </w:p>
        </w:tc>
        <w:tc>
          <w:tcPr>
            <w:tcW w:w="966"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-0,02494</w:t>
            </w:r>
          </w:p>
        </w:tc>
        <w:tc>
          <w:tcPr>
            <w:tcW w:w="849"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11</w:t>
            </w:r>
          </w:p>
        </w:tc>
        <w:tc>
          <w:tcPr>
            <w:tcW w:w="966"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-0,03897</w:t>
            </w:r>
          </w:p>
        </w:tc>
        <w:tc>
          <w:tcPr>
            <w:tcW w:w="683"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11</w:t>
            </w:r>
          </w:p>
        </w:tc>
        <w:tc>
          <w:tcPr>
            <w:tcW w:w="966"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-0,05284</w:t>
            </w:r>
          </w:p>
        </w:tc>
        <w:tc>
          <w:tcPr>
            <w:tcW w:w="683"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11</w:t>
            </w:r>
          </w:p>
        </w:tc>
        <w:tc>
          <w:tcPr>
            <w:tcW w:w="966"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-0,04991</w:t>
            </w:r>
          </w:p>
        </w:tc>
        <w:tc>
          <w:tcPr>
            <w:tcW w:w="697" w:type="dxa"/>
            <w:tcBorders>
              <w:top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11</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ASII</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0,0016</w:t>
            </w:r>
            <w:r w:rsidRPr="005553AC">
              <w:rPr>
                <w:rFonts w:ascii="Times New Roman" w:hAnsi="Times New Roman"/>
                <w:sz w:val="20"/>
                <w:szCs w:val="20"/>
                <w:lang w:val="id-ID"/>
              </w:rPr>
              <w:t>2</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5</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0,047</w:t>
            </w:r>
            <w:r w:rsidRPr="005553AC">
              <w:rPr>
                <w:rFonts w:ascii="Times New Roman" w:hAnsi="Times New Roman"/>
                <w:sz w:val="20"/>
                <w:szCs w:val="20"/>
                <w:lang w:val="id-ID"/>
              </w:rPr>
              <w:t>80</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5</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0,0301</w:t>
            </w:r>
            <w:r w:rsidRPr="005553AC">
              <w:rPr>
                <w:rFonts w:ascii="Times New Roman" w:hAnsi="Times New Roman"/>
                <w:sz w:val="20"/>
                <w:szCs w:val="20"/>
                <w:lang w:val="id-ID"/>
              </w:rPr>
              <w:t>5</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5</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0,0127</w:t>
            </w:r>
            <w:r w:rsidRPr="005553AC">
              <w:rPr>
                <w:rFonts w:ascii="Times New Roman" w:hAnsi="Times New Roman"/>
                <w:sz w:val="20"/>
                <w:szCs w:val="20"/>
                <w:lang w:val="id-ID"/>
              </w:rPr>
              <w:t>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5</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lang w:val="id-ID"/>
              </w:rPr>
              <w:t xml:space="preserve"> </w:t>
            </w:r>
            <w:r w:rsidRPr="005553AC">
              <w:rPr>
                <w:rFonts w:ascii="Times New Roman" w:hAnsi="Times New Roman"/>
                <w:sz w:val="20"/>
                <w:szCs w:val="20"/>
              </w:rPr>
              <w:t>0,01638</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5</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ASRI</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-0,01154</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6</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0,01581</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8</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0,0053</w:t>
            </w:r>
            <w:r w:rsidRPr="005553AC">
              <w:rPr>
                <w:rFonts w:ascii="Times New Roman" w:hAnsi="Times New Roman"/>
                <w:sz w:val="20"/>
                <w:szCs w:val="20"/>
                <w:lang w:val="id-ID"/>
              </w:rPr>
              <w:t>6</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6</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-0,00498</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6</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rPr>
              <w:t>-0,0028</w:t>
            </w:r>
            <w:r w:rsidRPr="005553AC">
              <w:rPr>
                <w:rFonts w:ascii="Times New Roman" w:hAnsi="Times New Roman"/>
                <w:sz w:val="20"/>
                <w:szCs w:val="20"/>
                <w:lang w:val="id-ID"/>
              </w:rPr>
              <w:t>0</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6</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INTP</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rPr>
              <w:t>-0,0177</w:t>
            </w:r>
            <w:r w:rsidRPr="005553AC">
              <w:rPr>
                <w:rFonts w:ascii="Times New Roman" w:hAnsi="Times New Roman"/>
                <w:sz w:val="20"/>
                <w:szCs w:val="20"/>
                <w:lang w:val="id-ID"/>
              </w:rPr>
              <w:t>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7</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0,0189</w:t>
            </w:r>
            <w:r w:rsidRPr="005553AC">
              <w:rPr>
                <w:rFonts w:ascii="Times New Roman" w:hAnsi="Times New Roman"/>
                <w:sz w:val="20"/>
                <w:szCs w:val="20"/>
                <w:lang w:val="id-ID"/>
              </w:rPr>
              <w:t>8</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6</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0,0049</w:t>
            </w:r>
            <w:r w:rsidRPr="005553AC">
              <w:rPr>
                <w:rFonts w:ascii="Times New Roman" w:hAnsi="Times New Roman"/>
                <w:sz w:val="20"/>
                <w:szCs w:val="20"/>
                <w:lang w:val="id-ID"/>
              </w:rPr>
              <w:t>6</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7</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rPr>
              <w:t>-0,0089</w:t>
            </w:r>
            <w:r w:rsidRPr="005553AC">
              <w:rPr>
                <w:rFonts w:ascii="Times New Roman" w:hAnsi="Times New Roman"/>
                <w:sz w:val="20"/>
                <w:szCs w:val="20"/>
                <w:lang w:val="id-ID"/>
              </w:rPr>
              <w:t>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7</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-0,00597</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7</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KLBF</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0,0337</w:t>
            </w:r>
            <w:r w:rsidRPr="005553AC">
              <w:rPr>
                <w:rFonts w:ascii="Times New Roman" w:hAnsi="Times New Roman"/>
                <w:sz w:val="20"/>
                <w:szCs w:val="20"/>
                <w:lang w:val="id-ID"/>
              </w:rPr>
              <w:t>4</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3</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0,0850</w:t>
            </w:r>
            <w:r w:rsidRPr="005553AC">
              <w:rPr>
                <w:rFonts w:ascii="Times New Roman" w:hAnsi="Times New Roman"/>
                <w:sz w:val="20"/>
                <w:szCs w:val="20"/>
                <w:lang w:val="id-ID"/>
              </w:rPr>
              <w:t>6</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3</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0,06544</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3</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0,0460</w:t>
            </w:r>
            <w:r w:rsidRPr="005553AC">
              <w:rPr>
                <w:rFonts w:ascii="Times New Roman" w:hAnsi="Times New Roman"/>
                <w:sz w:val="20"/>
                <w:szCs w:val="20"/>
                <w:lang w:val="id-ID"/>
              </w:rPr>
              <w:t>6</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3</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0,05014</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3</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LPKR</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-0,05583</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10</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rPr>
              <w:t>-0,0239</w:t>
            </w:r>
            <w:r w:rsidRPr="005553AC">
              <w:rPr>
                <w:rFonts w:ascii="Times New Roman" w:hAnsi="Times New Roman"/>
                <w:sz w:val="20"/>
                <w:szCs w:val="20"/>
                <w:lang w:val="id-ID"/>
              </w:rPr>
              <w:t>0</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10</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rPr>
              <w:t>-0,0361</w:t>
            </w:r>
            <w:r w:rsidRPr="005553AC">
              <w:rPr>
                <w:rFonts w:ascii="Times New Roman" w:hAnsi="Times New Roman"/>
                <w:sz w:val="20"/>
                <w:szCs w:val="20"/>
                <w:lang w:val="id-ID"/>
              </w:rPr>
              <w:t>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10</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-0,04816</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10</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-0,04562</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10</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LSIP</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-0,04917</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9</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-0,02194</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9</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-0,03235</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9</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-0,04264</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9</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-0,04047</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9</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SMGR</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rPr>
              <w:t>-0,0261</w:t>
            </w:r>
            <w:r w:rsidRPr="005553AC">
              <w:rPr>
                <w:rFonts w:ascii="Times New Roman" w:hAnsi="Times New Roman"/>
                <w:sz w:val="20"/>
                <w:szCs w:val="20"/>
                <w:lang w:val="id-ID"/>
              </w:rPr>
              <w:t>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8</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0,0175</w:t>
            </w:r>
            <w:r w:rsidRPr="005553AC">
              <w:rPr>
                <w:rFonts w:ascii="Times New Roman" w:hAnsi="Times New Roman"/>
                <w:sz w:val="20"/>
                <w:szCs w:val="20"/>
                <w:lang w:val="id-ID"/>
              </w:rPr>
              <w:t>4</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7</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lang w:val="id-ID"/>
              </w:rPr>
              <w:t xml:space="preserve"> </w:t>
            </w:r>
            <w:r w:rsidRPr="005553AC">
              <w:rPr>
                <w:rFonts w:ascii="Times New Roman" w:hAnsi="Times New Roman"/>
                <w:sz w:val="20"/>
                <w:szCs w:val="20"/>
              </w:rPr>
              <w:t>0,00086</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8</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-0,01563</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8</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-0,01215</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8</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TLKM</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0,04860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2</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0,1023</w:t>
            </w:r>
            <w:r w:rsidRPr="005553AC">
              <w:rPr>
                <w:rFonts w:ascii="Times New Roman" w:hAnsi="Times New Roman"/>
                <w:sz w:val="20"/>
                <w:szCs w:val="20"/>
                <w:lang w:val="id-ID"/>
              </w:rPr>
              <w:t>4</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2</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0,081</w:t>
            </w:r>
            <w:r w:rsidRPr="005553AC">
              <w:rPr>
                <w:rFonts w:ascii="Times New Roman" w:hAnsi="Times New Roman"/>
                <w:sz w:val="20"/>
                <w:szCs w:val="20"/>
                <w:lang w:val="id-ID"/>
              </w:rPr>
              <w:t>80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2</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0,061</w:t>
            </w:r>
            <w:r w:rsidRPr="005553AC">
              <w:rPr>
                <w:rFonts w:ascii="Times New Roman" w:hAnsi="Times New Roman"/>
                <w:sz w:val="20"/>
                <w:szCs w:val="20"/>
                <w:lang w:val="id-ID"/>
              </w:rPr>
              <w:t>50</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2</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0,06578</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2</w:t>
            </w:r>
          </w:p>
        </w:tc>
      </w:tr>
      <w:tr w:rsidR="005553AC" w:rsidRPr="005553AC" w:rsidTr="00386E5B">
        <w:trPr>
          <w:trHeight w:val="71"/>
          <w:jc w:val="center"/>
        </w:trPr>
        <w:tc>
          <w:tcPr>
            <w:tcW w:w="805" w:type="dxa"/>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UNTR</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0,0125</w:t>
            </w:r>
            <w:r w:rsidRPr="005553AC">
              <w:rPr>
                <w:rFonts w:ascii="Times New Roman" w:hAnsi="Times New Roman"/>
                <w:sz w:val="20"/>
                <w:szCs w:val="20"/>
                <w:lang w:val="id-ID"/>
              </w:rPr>
              <w:t>2</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4</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0,0541</w:t>
            </w:r>
            <w:r w:rsidRPr="005553AC">
              <w:rPr>
                <w:rFonts w:ascii="Times New Roman" w:hAnsi="Times New Roman"/>
                <w:sz w:val="20"/>
                <w:szCs w:val="20"/>
                <w:lang w:val="id-ID"/>
              </w:rPr>
              <w:t>8</w:t>
            </w:r>
          </w:p>
        </w:tc>
        <w:tc>
          <w:tcPr>
            <w:tcW w:w="849"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4</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0,0382</w:t>
            </w:r>
            <w:r w:rsidRPr="005553AC">
              <w:rPr>
                <w:rFonts w:ascii="Times New Roman" w:hAnsi="Times New Roman"/>
                <w:sz w:val="20"/>
                <w:szCs w:val="20"/>
                <w:lang w:val="id-ID"/>
              </w:rPr>
              <w:t>6</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4</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0,0225</w:t>
            </w:r>
            <w:r w:rsidRPr="005553AC">
              <w:rPr>
                <w:rFonts w:ascii="Times New Roman" w:hAnsi="Times New Roman"/>
                <w:sz w:val="20"/>
                <w:szCs w:val="20"/>
                <w:lang w:val="id-ID"/>
              </w:rPr>
              <w:t>2</w:t>
            </w:r>
          </w:p>
        </w:tc>
        <w:tc>
          <w:tcPr>
            <w:tcW w:w="683"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4</w:t>
            </w:r>
          </w:p>
        </w:tc>
        <w:tc>
          <w:tcPr>
            <w:tcW w:w="966"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0,0258</w:t>
            </w:r>
            <w:r w:rsidRPr="005553AC">
              <w:rPr>
                <w:rFonts w:ascii="Times New Roman" w:hAnsi="Times New Roman"/>
                <w:sz w:val="20"/>
                <w:szCs w:val="20"/>
                <w:lang w:val="id-ID"/>
              </w:rPr>
              <w:t>4</w:t>
            </w:r>
          </w:p>
        </w:tc>
        <w:tc>
          <w:tcPr>
            <w:tcW w:w="697" w:type="dxa"/>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4</w:t>
            </w:r>
          </w:p>
        </w:tc>
      </w:tr>
      <w:tr w:rsidR="005553AC" w:rsidRPr="005553AC" w:rsidTr="00386E5B">
        <w:trPr>
          <w:trHeight w:val="71"/>
          <w:jc w:val="center"/>
        </w:trPr>
        <w:tc>
          <w:tcPr>
            <w:tcW w:w="805" w:type="dxa"/>
            <w:tcBorders>
              <w:bottom w:val="single" w:sz="4" w:space="0" w:color="auto"/>
            </w:tcBorders>
            <w:shd w:val="clear" w:color="auto" w:fill="auto"/>
            <w:vAlign w:val="bottom"/>
            <w:hideMark/>
          </w:tcPr>
          <w:p w:rsidR="005553AC" w:rsidRPr="005553AC" w:rsidRDefault="005553AC" w:rsidP="00386E5B">
            <w:pPr>
              <w:pStyle w:val="NoSpacing"/>
              <w:rPr>
                <w:rFonts w:ascii="Times New Roman" w:hAnsi="Times New Roman"/>
                <w:sz w:val="20"/>
                <w:szCs w:val="20"/>
                <w:lang w:eastAsia="id-ID"/>
              </w:rPr>
            </w:pPr>
            <w:r w:rsidRPr="005553AC">
              <w:rPr>
                <w:rFonts w:ascii="Times New Roman" w:hAnsi="Times New Roman"/>
                <w:sz w:val="20"/>
                <w:szCs w:val="20"/>
                <w:lang w:eastAsia="id-ID"/>
              </w:rPr>
              <w:t>UNVR</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0,0702</w:t>
            </w:r>
            <w:r w:rsidRPr="005553AC">
              <w:rPr>
                <w:rFonts w:ascii="Times New Roman" w:hAnsi="Times New Roman"/>
                <w:sz w:val="20"/>
                <w:szCs w:val="20"/>
                <w:lang w:val="id-ID"/>
              </w:rPr>
              <w:t>5</w:t>
            </w:r>
          </w:p>
        </w:tc>
        <w:tc>
          <w:tcPr>
            <w:tcW w:w="683"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0,12526</w:t>
            </w:r>
          </w:p>
        </w:tc>
        <w:tc>
          <w:tcPr>
            <w:tcW w:w="849"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0,1042</w:t>
            </w:r>
            <w:r w:rsidRPr="005553AC">
              <w:rPr>
                <w:rFonts w:ascii="Times New Roman" w:hAnsi="Times New Roman"/>
                <w:sz w:val="20"/>
                <w:szCs w:val="20"/>
                <w:lang w:val="id-ID"/>
              </w:rPr>
              <w:t>4</w:t>
            </w:r>
          </w:p>
        </w:tc>
        <w:tc>
          <w:tcPr>
            <w:tcW w:w="683"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0,08345</w:t>
            </w:r>
          </w:p>
        </w:tc>
        <w:tc>
          <w:tcPr>
            <w:tcW w:w="683"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w:t>
            </w:r>
          </w:p>
        </w:tc>
        <w:tc>
          <w:tcPr>
            <w:tcW w:w="966"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lang w:val="id-ID"/>
              </w:rPr>
            </w:pPr>
            <w:r w:rsidRPr="005553AC">
              <w:rPr>
                <w:rFonts w:ascii="Times New Roman" w:hAnsi="Times New Roman"/>
                <w:sz w:val="20"/>
                <w:szCs w:val="20"/>
                <w:lang w:val="id-ID"/>
              </w:rPr>
              <w:t xml:space="preserve"> </w:t>
            </w:r>
            <w:r w:rsidRPr="005553AC">
              <w:rPr>
                <w:rFonts w:ascii="Times New Roman" w:hAnsi="Times New Roman"/>
                <w:sz w:val="20"/>
                <w:szCs w:val="20"/>
              </w:rPr>
              <w:t>0,0878</w:t>
            </w:r>
            <w:r w:rsidRPr="005553AC">
              <w:rPr>
                <w:rFonts w:ascii="Times New Roman" w:hAnsi="Times New Roman"/>
                <w:sz w:val="20"/>
                <w:szCs w:val="20"/>
                <w:lang w:val="id-ID"/>
              </w:rPr>
              <w:t>4</w:t>
            </w:r>
          </w:p>
        </w:tc>
        <w:tc>
          <w:tcPr>
            <w:tcW w:w="697" w:type="dxa"/>
            <w:tcBorders>
              <w:bottom w:val="single" w:sz="4" w:space="0" w:color="auto"/>
            </w:tcBorders>
            <w:shd w:val="clear" w:color="auto" w:fill="auto"/>
            <w:noWrap/>
            <w:vAlign w:val="bottom"/>
            <w:hideMark/>
          </w:tcPr>
          <w:p w:rsidR="005553AC" w:rsidRPr="005553AC" w:rsidRDefault="005553AC" w:rsidP="00386E5B">
            <w:pPr>
              <w:pStyle w:val="NoSpacing"/>
              <w:jc w:val="center"/>
              <w:rPr>
                <w:rFonts w:ascii="Times New Roman" w:hAnsi="Times New Roman"/>
                <w:sz w:val="20"/>
                <w:szCs w:val="20"/>
              </w:rPr>
            </w:pPr>
            <w:r w:rsidRPr="005553AC">
              <w:rPr>
                <w:rFonts w:ascii="Times New Roman" w:hAnsi="Times New Roman"/>
                <w:sz w:val="20"/>
                <w:szCs w:val="20"/>
              </w:rPr>
              <w:t>1</w:t>
            </w:r>
          </w:p>
        </w:tc>
      </w:tr>
    </w:tbl>
    <w:p w:rsidR="005553AC" w:rsidRPr="00072B00" w:rsidRDefault="005553AC" w:rsidP="005553AC">
      <w:pPr>
        <w:pStyle w:val="NoSpacing"/>
        <w:jc w:val="both"/>
        <w:rPr>
          <w:rFonts w:ascii="Times New Roman" w:eastAsia="Times New Roman" w:hAnsi="Times New Roman"/>
          <w:bCs/>
          <w:sz w:val="24"/>
          <w:szCs w:val="24"/>
          <w:lang w:val="id-ID"/>
        </w:rPr>
      </w:pPr>
    </w:p>
    <w:p w:rsidR="005553AC" w:rsidRDefault="005553AC" w:rsidP="005553AC">
      <w:pPr>
        <w:pStyle w:val="NoSpacing"/>
        <w:ind w:firstLine="720"/>
        <w:jc w:val="both"/>
        <w:rPr>
          <w:rFonts w:ascii="Times New Roman" w:eastAsia="Times New Roman" w:hAnsi="Times New Roman"/>
          <w:bCs/>
          <w:sz w:val="24"/>
          <w:szCs w:val="24"/>
          <w:lang w:val="id-ID"/>
        </w:rPr>
      </w:pP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 xml:space="preserve">The Suitability Analysis for the Modification of Sharpe Ratio </w:t>
      </w:r>
    </w:p>
    <w:p w:rsidR="005553AC" w:rsidRPr="00072B00" w:rsidRDefault="005553AC" w:rsidP="005553AC">
      <w:pPr>
        <w:pStyle w:val="NoSpacing"/>
        <w:jc w:val="both"/>
        <w:rPr>
          <w:rFonts w:ascii="Times New Roman" w:hAnsi="Times New Roman"/>
          <w:b/>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The suitability analysis of the measurements of five modification</w:t>
      </w:r>
      <w:r>
        <w:rPr>
          <w:rFonts w:ascii="Times New Roman" w:hAnsi="Times New Roman"/>
          <w:sz w:val="24"/>
          <w:szCs w:val="24"/>
          <w:lang w:val="id-ID"/>
        </w:rPr>
        <w:t>s</w:t>
      </w:r>
      <w:r w:rsidRPr="00072B00">
        <w:rPr>
          <w:rFonts w:ascii="Times New Roman" w:hAnsi="Times New Roman"/>
          <w:sz w:val="24"/>
          <w:szCs w:val="24"/>
          <w:lang w:val="id-ID"/>
        </w:rPr>
        <w:t xml:space="preserve"> of </w:t>
      </w:r>
      <w:r>
        <w:rPr>
          <w:rFonts w:ascii="Times New Roman" w:hAnsi="Times New Roman"/>
          <w:sz w:val="24"/>
          <w:szCs w:val="24"/>
          <w:lang w:val="id-ID"/>
        </w:rPr>
        <w:t xml:space="preserve">the </w:t>
      </w:r>
      <w:r w:rsidRPr="00072B00">
        <w:rPr>
          <w:rFonts w:ascii="Times New Roman" w:hAnsi="Times New Roman"/>
          <w:sz w:val="24"/>
          <w:szCs w:val="24"/>
          <w:lang w:val="id-ID"/>
        </w:rPr>
        <w:t>Sharpe Ratio can u</w:t>
      </w:r>
      <w:r>
        <w:rPr>
          <w:rFonts w:ascii="Times New Roman" w:hAnsi="Times New Roman"/>
          <w:sz w:val="24"/>
          <w:szCs w:val="24"/>
          <w:lang w:val="id-ID"/>
        </w:rPr>
        <w:t>se Kendall's Concordance test. I</w:t>
      </w:r>
      <w:r w:rsidRPr="00072B00">
        <w:rPr>
          <w:rFonts w:ascii="Times New Roman" w:hAnsi="Times New Roman"/>
          <w:sz w:val="24"/>
          <w:szCs w:val="24"/>
          <w:lang w:val="id-ID"/>
        </w:rPr>
        <w:t>n table 5, it is found that the suitability coefficient is very high, which is 0.991. While the suitability between models can be seen from the Spearman correlation coefficient in table 6, it appears that all pairs have very strong (very high) correlation coefficients.</w:t>
      </w:r>
    </w:p>
    <w:p w:rsidR="005553AC" w:rsidRPr="00072B00" w:rsidRDefault="005553AC" w:rsidP="005553AC">
      <w:pPr>
        <w:pStyle w:val="NoSpacing"/>
        <w:jc w:val="both"/>
        <w:rPr>
          <w:rFonts w:ascii="Times New Roman" w:hAnsi="Times New Roman"/>
          <w:sz w:val="24"/>
          <w:szCs w:val="24"/>
          <w:lang w:val="id-ID"/>
        </w:rPr>
      </w:pPr>
    </w:p>
    <w:p w:rsidR="005553AC" w:rsidRPr="005553AC" w:rsidRDefault="005553AC" w:rsidP="005553AC">
      <w:pPr>
        <w:pStyle w:val="NoSpacing"/>
        <w:jc w:val="center"/>
        <w:rPr>
          <w:rFonts w:ascii="Times New Roman" w:hAnsi="Times New Roman"/>
          <w:sz w:val="24"/>
          <w:szCs w:val="24"/>
          <w:lang w:val="id-ID"/>
        </w:rPr>
      </w:pPr>
      <w:r w:rsidRPr="005553AC">
        <w:rPr>
          <w:rFonts w:ascii="Times New Roman" w:hAnsi="Times New Roman"/>
          <w:sz w:val="24"/>
          <w:szCs w:val="24"/>
        </w:rPr>
        <w:t>Tab</w:t>
      </w:r>
      <w:r w:rsidRPr="005553AC">
        <w:rPr>
          <w:rFonts w:ascii="Times New Roman" w:hAnsi="Times New Roman"/>
          <w:sz w:val="24"/>
          <w:szCs w:val="24"/>
          <w:lang w:val="id-ID"/>
        </w:rPr>
        <w:t>le</w:t>
      </w:r>
      <w:r w:rsidRPr="005553AC">
        <w:rPr>
          <w:rFonts w:ascii="Times New Roman" w:hAnsi="Times New Roman"/>
          <w:sz w:val="24"/>
          <w:szCs w:val="24"/>
        </w:rPr>
        <w:t xml:space="preserve"> </w:t>
      </w:r>
      <w:r w:rsidRPr="005553AC">
        <w:rPr>
          <w:rFonts w:ascii="Times New Roman" w:hAnsi="Times New Roman"/>
          <w:sz w:val="24"/>
          <w:szCs w:val="24"/>
          <w:lang w:val="id-ID"/>
        </w:rPr>
        <w:t>5</w:t>
      </w:r>
      <w:r w:rsidRPr="005553AC">
        <w:rPr>
          <w:rFonts w:ascii="Times New Roman" w:hAnsi="Times New Roman"/>
          <w:sz w:val="24"/>
          <w:szCs w:val="24"/>
        </w:rPr>
        <w:t xml:space="preserve">. </w:t>
      </w:r>
      <w:r w:rsidRPr="005553AC">
        <w:rPr>
          <w:rFonts w:ascii="Times New Roman" w:hAnsi="Times New Roman"/>
          <w:sz w:val="24"/>
          <w:szCs w:val="24"/>
          <w:lang w:val="id-ID"/>
        </w:rPr>
        <w:t xml:space="preserve"> The Result of Kendall's Concordance Test</w:t>
      </w:r>
    </w:p>
    <w:p w:rsidR="005553AC" w:rsidRPr="00072B00" w:rsidRDefault="005553AC" w:rsidP="005553AC">
      <w:pPr>
        <w:pStyle w:val="NoSpacing"/>
        <w:jc w:val="center"/>
        <w:rPr>
          <w:rFonts w:ascii="Times New Roman" w:hAnsi="Times New Roman"/>
          <w:sz w:val="24"/>
          <w:szCs w:val="24"/>
          <w:lang w:val="id-ID"/>
        </w:rPr>
      </w:pP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4"/>
        <w:gridCol w:w="1414"/>
        <w:gridCol w:w="1353"/>
        <w:gridCol w:w="1518"/>
      </w:tblGrid>
      <w:tr w:rsidR="005553AC" w:rsidRPr="005553AC" w:rsidTr="005553AC">
        <w:trPr>
          <w:jc w:val="center"/>
        </w:trPr>
        <w:tc>
          <w:tcPr>
            <w:tcW w:w="3364"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Kendall's  Coef. of Concordance</w:t>
            </w:r>
          </w:p>
        </w:tc>
        <w:tc>
          <w:tcPr>
            <w:tcW w:w="1414"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Chi-Square</w:t>
            </w:r>
          </w:p>
        </w:tc>
        <w:tc>
          <w:tcPr>
            <w:tcW w:w="1353"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Asymp. sig</w:t>
            </w:r>
          </w:p>
        </w:tc>
        <w:tc>
          <w:tcPr>
            <w:tcW w:w="1518"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Note</w:t>
            </w:r>
          </w:p>
        </w:tc>
      </w:tr>
      <w:tr w:rsidR="005553AC" w:rsidRPr="005553AC" w:rsidTr="005553AC">
        <w:trPr>
          <w:jc w:val="center"/>
        </w:trPr>
        <w:tc>
          <w:tcPr>
            <w:tcW w:w="3364"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0,991</w:t>
            </w:r>
          </w:p>
        </w:tc>
        <w:tc>
          <w:tcPr>
            <w:tcW w:w="1414"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49,564</w:t>
            </w:r>
          </w:p>
        </w:tc>
        <w:tc>
          <w:tcPr>
            <w:tcW w:w="1353"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0,000</w:t>
            </w:r>
          </w:p>
        </w:tc>
        <w:tc>
          <w:tcPr>
            <w:tcW w:w="1518"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bl>
    <w:p w:rsidR="005553AC" w:rsidRDefault="005553AC" w:rsidP="005553AC">
      <w:pPr>
        <w:pStyle w:val="NoSpacing"/>
        <w:ind w:firstLine="720"/>
        <w:jc w:val="both"/>
        <w:rPr>
          <w:rFonts w:ascii="Times New Roman" w:eastAsia="Times New Roman" w:hAnsi="Times New Roman"/>
          <w:bCs/>
          <w:sz w:val="24"/>
          <w:szCs w:val="24"/>
          <w:lang w:val="id-ID"/>
        </w:rPr>
      </w:pPr>
    </w:p>
    <w:p w:rsidR="005553AC" w:rsidRDefault="005553AC" w:rsidP="005553AC">
      <w:pPr>
        <w:pStyle w:val="NoSpacing"/>
        <w:ind w:firstLine="720"/>
        <w:jc w:val="both"/>
        <w:rPr>
          <w:rFonts w:ascii="Times New Roman" w:eastAsia="Times New Roman" w:hAnsi="Times New Roman"/>
          <w:bCs/>
          <w:sz w:val="24"/>
          <w:szCs w:val="24"/>
          <w:lang w:val="id-ID"/>
        </w:rPr>
      </w:pP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 xml:space="preserve">The Suitability Analysis for the Modification of Sharpe Ratio </w:t>
      </w:r>
    </w:p>
    <w:p w:rsidR="005553AC" w:rsidRPr="00072B00" w:rsidRDefault="005553AC" w:rsidP="005553AC">
      <w:pPr>
        <w:pStyle w:val="NoSpacing"/>
        <w:jc w:val="both"/>
        <w:rPr>
          <w:rFonts w:ascii="Times New Roman" w:hAnsi="Times New Roman"/>
          <w:b/>
          <w:sz w:val="24"/>
          <w:szCs w:val="24"/>
          <w:lang w:val="id-ID"/>
        </w:rPr>
      </w:pP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The suitability analysis of the measurements of five modification</w:t>
      </w:r>
      <w:r>
        <w:rPr>
          <w:rFonts w:ascii="Times New Roman" w:hAnsi="Times New Roman"/>
          <w:sz w:val="24"/>
          <w:szCs w:val="24"/>
          <w:lang w:val="id-ID"/>
        </w:rPr>
        <w:t>s</w:t>
      </w:r>
      <w:r w:rsidRPr="00072B00">
        <w:rPr>
          <w:rFonts w:ascii="Times New Roman" w:hAnsi="Times New Roman"/>
          <w:sz w:val="24"/>
          <w:szCs w:val="24"/>
          <w:lang w:val="id-ID"/>
        </w:rPr>
        <w:t xml:space="preserve"> of </w:t>
      </w:r>
      <w:r>
        <w:rPr>
          <w:rFonts w:ascii="Times New Roman" w:hAnsi="Times New Roman"/>
          <w:sz w:val="24"/>
          <w:szCs w:val="24"/>
          <w:lang w:val="id-ID"/>
        </w:rPr>
        <w:t xml:space="preserve">the </w:t>
      </w:r>
      <w:r w:rsidRPr="00072B00">
        <w:rPr>
          <w:rFonts w:ascii="Times New Roman" w:hAnsi="Times New Roman"/>
          <w:sz w:val="24"/>
          <w:szCs w:val="24"/>
          <w:lang w:val="id-ID"/>
        </w:rPr>
        <w:t>Sharpe Ratio can u</w:t>
      </w:r>
      <w:r>
        <w:rPr>
          <w:rFonts w:ascii="Times New Roman" w:hAnsi="Times New Roman"/>
          <w:sz w:val="24"/>
          <w:szCs w:val="24"/>
          <w:lang w:val="id-ID"/>
        </w:rPr>
        <w:t>se Kendall's Concordance test. I</w:t>
      </w:r>
      <w:r w:rsidRPr="00072B00">
        <w:rPr>
          <w:rFonts w:ascii="Times New Roman" w:hAnsi="Times New Roman"/>
          <w:sz w:val="24"/>
          <w:szCs w:val="24"/>
          <w:lang w:val="id-ID"/>
        </w:rPr>
        <w:t>n table 5, it is found that the suitability coefficient is very high, which is 0.991. While the suitability between models can be seen from the Spearman correlation coefficient in table 6, it appears that all pairs have very strong (very high) correlation coefficients.</w:t>
      </w:r>
    </w:p>
    <w:p w:rsidR="005553AC" w:rsidRPr="00072B00" w:rsidRDefault="005553AC" w:rsidP="005553AC">
      <w:pPr>
        <w:pStyle w:val="NoSpacing"/>
        <w:jc w:val="both"/>
        <w:rPr>
          <w:rFonts w:ascii="Times New Roman" w:hAnsi="Times New Roman"/>
          <w:sz w:val="24"/>
          <w:szCs w:val="24"/>
          <w:lang w:val="id-ID"/>
        </w:rPr>
      </w:pPr>
    </w:p>
    <w:p w:rsidR="005553AC" w:rsidRPr="005553AC" w:rsidRDefault="005553AC" w:rsidP="005553AC">
      <w:pPr>
        <w:pStyle w:val="NoSpacing"/>
        <w:jc w:val="center"/>
        <w:rPr>
          <w:rFonts w:ascii="Times New Roman" w:hAnsi="Times New Roman"/>
          <w:sz w:val="24"/>
          <w:szCs w:val="24"/>
          <w:lang w:val="id-ID"/>
        </w:rPr>
      </w:pPr>
      <w:r w:rsidRPr="005553AC">
        <w:rPr>
          <w:rFonts w:ascii="Times New Roman" w:hAnsi="Times New Roman"/>
          <w:sz w:val="24"/>
          <w:szCs w:val="24"/>
        </w:rPr>
        <w:t>Tab</w:t>
      </w:r>
      <w:r w:rsidRPr="005553AC">
        <w:rPr>
          <w:rFonts w:ascii="Times New Roman" w:hAnsi="Times New Roman"/>
          <w:sz w:val="24"/>
          <w:szCs w:val="24"/>
          <w:lang w:val="id-ID"/>
        </w:rPr>
        <w:t>le</w:t>
      </w:r>
      <w:r w:rsidRPr="005553AC">
        <w:rPr>
          <w:rFonts w:ascii="Times New Roman" w:hAnsi="Times New Roman"/>
          <w:sz w:val="24"/>
          <w:szCs w:val="24"/>
        </w:rPr>
        <w:t xml:space="preserve"> </w:t>
      </w:r>
      <w:r w:rsidRPr="005553AC">
        <w:rPr>
          <w:rFonts w:ascii="Times New Roman" w:hAnsi="Times New Roman"/>
          <w:sz w:val="24"/>
          <w:szCs w:val="24"/>
          <w:lang w:val="id-ID"/>
        </w:rPr>
        <w:t>5</w:t>
      </w:r>
      <w:r w:rsidRPr="005553AC">
        <w:rPr>
          <w:rFonts w:ascii="Times New Roman" w:hAnsi="Times New Roman"/>
          <w:sz w:val="24"/>
          <w:szCs w:val="24"/>
        </w:rPr>
        <w:t xml:space="preserve">. </w:t>
      </w:r>
      <w:r w:rsidRPr="005553AC">
        <w:rPr>
          <w:rFonts w:ascii="Times New Roman" w:hAnsi="Times New Roman"/>
          <w:sz w:val="24"/>
          <w:szCs w:val="24"/>
          <w:lang w:val="id-ID"/>
        </w:rPr>
        <w:t xml:space="preserve"> The Result of Kendall's Concordance Test</w:t>
      </w:r>
    </w:p>
    <w:p w:rsidR="005553AC" w:rsidRPr="00072B00" w:rsidRDefault="005553AC" w:rsidP="005553AC">
      <w:pPr>
        <w:pStyle w:val="NoSpacing"/>
        <w:jc w:val="center"/>
        <w:rPr>
          <w:rFonts w:ascii="Times New Roman" w:hAnsi="Times New Roman"/>
          <w:sz w:val="24"/>
          <w:szCs w:val="24"/>
          <w:lang w:val="id-ID"/>
        </w:rPr>
      </w:pP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4"/>
        <w:gridCol w:w="1414"/>
        <w:gridCol w:w="1353"/>
        <w:gridCol w:w="1518"/>
      </w:tblGrid>
      <w:tr w:rsidR="005553AC" w:rsidRPr="005553AC" w:rsidTr="005553AC">
        <w:trPr>
          <w:jc w:val="center"/>
        </w:trPr>
        <w:tc>
          <w:tcPr>
            <w:tcW w:w="3364"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lang w:val="id-ID" w:eastAsia="id-ID"/>
              </w:rPr>
            </w:pPr>
            <w:r w:rsidRPr="005553AC">
              <w:rPr>
                <w:rFonts w:ascii="Times New Roman" w:eastAsia="Times New Roman" w:hAnsi="Times New Roman"/>
                <w:b/>
                <w:lang w:val="id-ID" w:eastAsia="id-ID"/>
              </w:rPr>
              <w:t>Kendall's  Coef. of Concordance</w:t>
            </w:r>
          </w:p>
        </w:tc>
        <w:tc>
          <w:tcPr>
            <w:tcW w:w="1414"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lang w:val="id-ID" w:eastAsia="id-ID"/>
              </w:rPr>
            </w:pPr>
            <w:r w:rsidRPr="005553AC">
              <w:rPr>
                <w:rFonts w:ascii="Times New Roman" w:eastAsia="Times New Roman" w:hAnsi="Times New Roman"/>
                <w:b/>
                <w:lang w:val="id-ID" w:eastAsia="id-ID"/>
              </w:rPr>
              <w:t>Chi-Square</w:t>
            </w:r>
          </w:p>
        </w:tc>
        <w:tc>
          <w:tcPr>
            <w:tcW w:w="1353"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lang w:val="id-ID" w:eastAsia="id-ID"/>
              </w:rPr>
            </w:pPr>
            <w:r w:rsidRPr="005553AC">
              <w:rPr>
                <w:rFonts w:ascii="Times New Roman" w:eastAsia="Times New Roman" w:hAnsi="Times New Roman"/>
                <w:b/>
                <w:lang w:val="id-ID" w:eastAsia="id-ID"/>
              </w:rPr>
              <w:t>Asymp. sig</w:t>
            </w:r>
          </w:p>
        </w:tc>
        <w:tc>
          <w:tcPr>
            <w:tcW w:w="1518" w:type="dxa"/>
            <w:tcBorders>
              <w:left w:val="nil"/>
              <w:right w:val="nil"/>
            </w:tcBorders>
            <w:shd w:val="clear" w:color="auto" w:fill="auto"/>
          </w:tcPr>
          <w:p w:rsidR="005553AC" w:rsidRPr="005553AC" w:rsidRDefault="005553AC" w:rsidP="00386E5B">
            <w:pPr>
              <w:pStyle w:val="NoSpacing"/>
              <w:jc w:val="center"/>
              <w:rPr>
                <w:rFonts w:ascii="Times New Roman" w:eastAsia="Times New Roman" w:hAnsi="Times New Roman"/>
                <w:b/>
                <w:lang w:val="id-ID" w:eastAsia="id-ID"/>
              </w:rPr>
            </w:pPr>
            <w:r w:rsidRPr="005553AC">
              <w:rPr>
                <w:rFonts w:ascii="Times New Roman" w:eastAsia="Times New Roman" w:hAnsi="Times New Roman"/>
                <w:b/>
                <w:lang w:val="id-ID" w:eastAsia="id-ID"/>
              </w:rPr>
              <w:t>Note</w:t>
            </w:r>
          </w:p>
        </w:tc>
      </w:tr>
      <w:tr w:rsidR="005553AC" w:rsidRPr="00B310E9" w:rsidTr="005553AC">
        <w:trPr>
          <w:jc w:val="center"/>
        </w:trPr>
        <w:tc>
          <w:tcPr>
            <w:tcW w:w="3364" w:type="dxa"/>
            <w:tcBorders>
              <w:left w:val="nil"/>
              <w:right w:val="nil"/>
            </w:tcBorders>
            <w:shd w:val="clear" w:color="auto" w:fill="auto"/>
          </w:tcPr>
          <w:p w:rsidR="005553AC" w:rsidRPr="00B310E9" w:rsidRDefault="005553AC" w:rsidP="00386E5B">
            <w:pPr>
              <w:pStyle w:val="NoSpacing"/>
              <w:jc w:val="center"/>
              <w:rPr>
                <w:rFonts w:ascii="Times New Roman" w:eastAsia="Times New Roman" w:hAnsi="Times New Roman"/>
                <w:lang w:val="id-ID" w:eastAsia="id-ID"/>
              </w:rPr>
            </w:pPr>
            <w:r w:rsidRPr="00B310E9">
              <w:rPr>
                <w:rFonts w:ascii="Times New Roman" w:eastAsia="Times New Roman" w:hAnsi="Times New Roman"/>
                <w:lang w:val="id-ID" w:eastAsia="id-ID"/>
              </w:rPr>
              <w:t>0,991</w:t>
            </w:r>
          </w:p>
        </w:tc>
        <w:tc>
          <w:tcPr>
            <w:tcW w:w="1414" w:type="dxa"/>
            <w:tcBorders>
              <w:left w:val="nil"/>
              <w:right w:val="nil"/>
            </w:tcBorders>
            <w:shd w:val="clear" w:color="auto" w:fill="auto"/>
          </w:tcPr>
          <w:p w:rsidR="005553AC" w:rsidRPr="00B310E9" w:rsidRDefault="005553AC" w:rsidP="00386E5B">
            <w:pPr>
              <w:pStyle w:val="NoSpacing"/>
              <w:jc w:val="center"/>
              <w:rPr>
                <w:rFonts w:ascii="Times New Roman" w:eastAsia="Times New Roman" w:hAnsi="Times New Roman"/>
                <w:lang w:val="id-ID" w:eastAsia="id-ID"/>
              </w:rPr>
            </w:pPr>
            <w:r w:rsidRPr="00B310E9">
              <w:rPr>
                <w:rFonts w:ascii="Times New Roman" w:eastAsia="Times New Roman" w:hAnsi="Times New Roman"/>
                <w:lang w:val="id-ID" w:eastAsia="id-ID"/>
              </w:rPr>
              <w:t>49,564</w:t>
            </w:r>
          </w:p>
        </w:tc>
        <w:tc>
          <w:tcPr>
            <w:tcW w:w="1353" w:type="dxa"/>
            <w:tcBorders>
              <w:left w:val="nil"/>
              <w:right w:val="nil"/>
            </w:tcBorders>
            <w:shd w:val="clear" w:color="auto" w:fill="auto"/>
          </w:tcPr>
          <w:p w:rsidR="005553AC" w:rsidRPr="00B310E9" w:rsidRDefault="005553AC" w:rsidP="00386E5B">
            <w:pPr>
              <w:pStyle w:val="NoSpacing"/>
              <w:jc w:val="center"/>
              <w:rPr>
                <w:rFonts w:ascii="Times New Roman" w:eastAsia="Times New Roman" w:hAnsi="Times New Roman"/>
                <w:lang w:val="id-ID" w:eastAsia="id-ID"/>
              </w:rPr>
            </w:pPr>
            <w:r w:rsidRPr="00B310E9">
              <w:rPr>
                <w:rFonts w:ascii="Times New Roman" w:eastAsia="Times New Roman" w:hAnsi="Times New Roman"/>
                <w:lang w:val="id-ID" w:eastAsia="id-ID"/>
              </w:rPr>
              <w:t>0,000</w:t>
            </w:r>
          </w:p>
        </w:tc>
        <w:tc>
          <w:tcPr>
            <w:tcW w:w="1518" w:type="dxa"/>
            <w:tcBorders>
              <w:left w:val="nil"/>
              <w:right w:val="nil"/>
            </w:tcBorders>
            <w:shd w:val="clear" w:color="auto" w:fill="auto"/>
          </w:tcPr>
          <w:p w:rsidR="005553AC" w:rsidRPr="00B310E9" w:rsidRDefault="005553AC" w:rsidP="00386E5B">
            <w:pPr>
              <w:pStyle w:val="NoSpacing"/>
              <w:jc w:val="center"/>
              <w:rPr>
                <w:rFonts w:ascii="Times New Roman" w:eastAsia="Times New Roman" w:hAnsi="Times New Roman"/>
                <w:lang w:val="id-ID" w:eastAsia="id-ID"/>
              </w:rPr>
            </w:pPr>
            <w:r w:rsidRPr="00B310E9">
              <w:rPr>
                <w:rFonts w:ascii="Times New Roman" w:eastAsia="Times New Roman" w:hAnsi="Times New Roman"/>
                <w:lang w:val="id-ID" w:eastAsia="id-ID"/>
              </w:rPr>
              <w:t>very high</w:t>
            </w:r>
          </w:p>
        </w:tc>
      </w:tr>
    </w:tbl>
    <w:p w:rsidR="005553AC" w:rsidRPr="00072B00" w:rsidRDefault="005553AC" w:rsidP="005553AC">
      <w:pPr>
        <w:pStyle w:val="NoSpacing"/>
        <w:jc w:val="center"/>
        <w:rPr>
          <w:rFonts w:ascii="Times New Roman" w:hAnsi="Times New Roman"/>
          <w:b/>
          <w:sz w:val="24"/>
          <w:szCs w:val="24"/>
          <w:lang w:val="id-ID"/>
        </w:rPr>
      </w:pPr>
    </w:p>
    <w:p w:rsidR="005553AC" w:rsidRPr="005553AC" w:rsidRDefault="005553AC" w:rsidP="005553AC">
      <w:pPr>
        <w:pStyle w:val="NoSpacing"/>
        <w:jc w:val="center"/>
        <w:rPr>
          <w:rFonts w:ascii="Times New Roman" w:hAnsi="Times New Roman"/>
          <w:sz w:val="24"/>
          <w:szCs w:val="24"/>
          <w:lang w:val="id-ID"/>
        </w:rPr>
      </w:pPr>
      <w:r w:rsidRPr="005553AC">
        <w:rPr>
          <w:rFonts w:ascii="Times New Roman" w:hAnsi="Times New Roman"/>
          <w:sz w:val="24"/>
          <w:szCs w:val="24"/>
          <w:lang w:val="id-ID"/>
        </w:rPr>
        <w:t>Table 6</w:t>
      </w:r>
      <w:r w:rsidRPr="005553AC">
        <w:rPr>
          <w:rFonts w:ascii="Times New Roman" w:hAnsi="Times New Roman"/>
          <w:sz w:val="24"/>
          <w:szCs w:val="24"/>
        </w:rPr>
        <w:t>.</w:t>
      </w:r>
      <w:r w:rsidRPr="005553AC">
        <w:rPr>
          <w:rFonts w:ascii="Times New Roman" w:hAnsi="Times New Roman"/>
          <w:sz w:val="24"/>
          <w:szCs w:val="24"/>
          <w:lang w:val="id-ID"/>
        </w:rPr>
        <w:t xml:space="preserve"> </w:t>
      </w:r>
      <w:r w:rsidRPr="005553AC">
        <w:rPr>
          <w:rFonts w:ascii="Times New Roman" w:hAnsi="Times New Roman"/>
          <w:sz w:val="24"/>
          <w:szCs w:val="24"/>
        </w:rPr>
        <w:t xml:space="preserve">Coefficient Correlation </w:t>
      </w:r>
      <w:r w:rsidRPr="005553AC">
        <w:rPr>
          <w:rFonts w:ascii="Times New Roman" w:hAnsi="Times New Roman"/>
          <w:sz w:val="24"/>
          <w:szCs w:val="24"/>
          <w:lang w:val="id-ID"/>
        </w:rPr>
        <w:t>b</w:t>
      </w:r>
      <w:r w:rsidRPr="005553AC">
        <w:rPr>
          <w:rFonts w:ascii="Times New Roman" w:hAnsi="Times New Roman"/>
          <w:sz w:val="24"/>
          <w:szCs w:val="24"/>
        </w:rPr>
        <w:t xml:space="preserve">etween Modification </w:t>
      </w:r>
      <w:r w:rsidRPr="005553AC">
        <w:rPr>
          <w:rFonts w:ascii="Times New Roman" w:hAnsi="Times New Roman"/>
          <w:sz w:val="24"/>
          <w:szCs w:val="24"/>
          <w:lang w:val="id-ID"/>
        </w:rPr>
        <w:t xml:space="preserve">of </w:t>
      </w:r>
      <w:r w:rsidRPr="005553AC">
        <w:rPr>
          <w:rFonts w:ascii="Times New Roman" w:hAnsi="Times New Roman"/>
          <w:sz w:val="24"/>
          <w:szCs w:val="24"/>
        </w:rPr>
        <w:t>Sharpe Ratio</w:t>
      </w:r>
    </w:p>
    <w:p w:rsidR="005553AC" w:rsidRPr="00072B00" w:rsidRDefault="005553AC" w:rsidP="005553AC">
      <w:pPr>
        <w:pStyle w:val="NoSpacing"/>
        <w:jc w:val="center"/>
        <w:rPr>
          <w:rFonts w:ascii="Times New Roman" w:hAnsi="Times New Roman"/>
          <w:b/>
          <w:sz w:val="24"/>
          <w:szCs w:val="24"/>
          <w:lang w:val="id-ID"/>
        </w:rPr>
      </w:pPr>
    </w:p>
    <w:tbl>
      <w:tblPr>
        <w:tblW w:w="5752" w:type="dxa"/>
        <w:jc w:val="center"/>
        <w:tblLook w:val="04A0"/>
      </w:tblPr>
      <w:tblGrid>
        <w:gridCol w:w="2417"/>
        <w:gridCol w:w="1842"/>
        <w:gridCol w:w="1493"/>
      </w:tblGrid>
      <w:tr w:rsidR="005553AC" w:rsidRPr="005553AC" w:rsidTr="005553AC">
        <w:trPr>
          <w:trHeight w:val="134"/>
          <w:jc w:val="center"/>
        </w:trPr>
        <w:tc>
          <w:tcPr>
            <w:tcW w:w="2417" w:type="dxa"/>
            <w:tcBorders>
              <w:top w:val="single" w:sz="4" w:space="0" w:color="auto"/>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Pair</w:t>
            </w:r>
          </w:p>
        </w:tc>
        <w:tc>
          <w:tcPr>
            <w:tcW w:w="1842" w:type="dxa"/>
            <w:tcBorders>
              <w:top w:val="single" w:sz="4" w:space="0" w:color="auto"/>
              <w:bottom w:val="single" w:sz="4" w:space="0" w:color="auto"/>
            </w:tcBorders>
            <w:shd w:val="clear" w:color="auto" w:fill="auto"/>
          </w:tcPr>
          <w:p w:rsidR="005553AC" w:rsidRPr="005553AC" w:rsidRDefault="005553AC" w:rsidP="00386E5B">
            <w:pPr>
              <w:pStyle w:val="NoSpacing"/>
              <w:rPr>
                <w:rFonts w:ascii="Times New Roman" w:eastAsia="Times New Roman" w:hAnsi="Times New Roman"/>
                <w:b/>
                <w:sz w:val="20"/>
                <w:szCs w:val="20"/>
                <w:lang w:val="id-ID" w:eastAsia="id-ID"/>
              </w:rPr>
            </w:pPr>
            <w:r w:rsidRPr="005553AC">
              <w:rPr>
                <w:rFonts w:ascii="Times New Roman" w:eastAsia="Times New Roman" w:hAnsi="Times New Roman"/>
                <w:b/>
                <w:sz w:val="20"/>
                <w:szCs w:val="20"/>
                <w:lang w:val="id-ID" w:eastAsia="id-ID"/>
              </w:rPr>
              <w:t>Spearman Coef.</w:t>
            </w:r>
          </w:p>
        </w:tc>
        <w:tc>
          <w:tcPr>
            <w:tcW w:w="1493" w:type="dxa"/>
            <w:tcBorders>
              <w:top w:val="single" w:sz="4" w:space="0" w:color="auto"/>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b/>
                <w:sz w:val="20"/>
                <w:szCs w:val="20"/>
                <w:vertAlign w:val="subscript"/>
                <w:lang w:val="id-ID" w:eastAsia="id-ID"/>
              </w:rPr>
            </w:pPr>
            <w:r w:rsidRPr="005553AC">
              <w:rPr>
                <w:rFonts w:ascii="Times New Roman" w:eastAsia="Times New Roman" w:hAnsi="Times New Roman"/>
                <w:b/>
                <w:sz w:val="20"/>
                <w:szCs w:val="20"/>
                <w:lang w:val="id-ID" w:eastAsia="id-ID"/>
              </w:rPr>
              <w:t>Note</w:t>
            </w:r>
          </w:p>
        </w:tc>
      </w:tr>
      <w:tr w:rsidR="005553AC" w:rsidRPr="005553AC" w:rsidTr="005553AC">
        <w:trPr>
          <w:jc w:val="center"/>
        </w:trPr>
        <w:tc>
          <w:tcPr>
            <w:tcW w:w="2417" w:type="dxa"/>
            <w:tcBorders>
              <w:top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 MSR NRF</w:t>
            </w:r>
          </w:p>
        </w:tc>
        <w:tc>
          <w:tcPr>
            <w:tcW w:w="1842" w:type="dxa"/>
            <w:tcBorders>
              <w:top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0,973*</w:t>
            </w:r>
          </w:p>
        </w:tc>
        <w:tc>
          <w:tcPr>
            <w:tcW w:w="1493" w:type="dxa"/>
            <w:tcBorders>
              <w:top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 MSR ZR</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1,000*</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 MSR INF</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1,000*</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 MSR GDP</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1,000*</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NRF - MSR ZR</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0,973*</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NRF - MSR INF</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0,973*</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NRF - MSR GDP</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0,973*</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ZR - MSR INF</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1,000*</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ZR - MSR GDP</w:t>
            </w:r>
          </w:p>
        </w:tc>
        <w:tc>
          <w:tcPr>
            <w:tcW w:w="1842"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1,000*</w:t>
            </w:r>
          </w:p>
        </w:tc>
        <w:tc>
          <w:tcPr>
            <w:tcW w:w="1493" w:type="dxa"/>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2417" w:type="dxa"/>
            <w:tcBorders>
              <w:bottom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MSR INF - MSR GDP</w:t>
            </w:r>
          </w:p>
        </w:tc>
        <w:tc>
          <w:tcPr>
            <w:tcW w:w="1842"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1,000*</w:t>
            </w:r>
          </w:p>
        </w:tc>
        <w:tc>
          <w:tcPr>
            <w:tcW w:w="1493" w:type="dxa"/>
            <w:tcBorders>
              <w:bottom w:val="single" w:sz="4" w:space="0" w:color="auto"/>
            </w:tcBorders>
            <w:shd w:val="clear" w:color="auto" w:fill="auto"/>
          </w:tcPr>
          <w:p w:rsidR="005553AC" w:rsidRPr="005553AC" w:rsidRDefault="005553AC" w:rsidP="00386E5B">
            <w:pPr>
              <w:pStyle w:val="NoSpacing"/>
              <w:jc w:val="center"/>
              <w:rPr>
                <w:rFonts w:ascii="Times New Roman" w:eastAsia="Times New Roman" w:hAnsi="Times New Roman"/>
                <w:sz w:val="20"/>
                <w:szCs w:val="20"/>
                <w:lang w:val="id-ID" w:eastAsia="id-ID"/>
              </w:rPr>
            </w:pPr>
            <w:r w:rsidRPr="005553AC">
              <w:rPr>
                <w:rFonts w:ascii="Times New Roman" w:eastAsia="Times New Roman" w:hAnsi="Times New Roman"/>
                <w:sz w:val="20"/>
                <w:szCs w:val="20"/>
                <w:lang w:val="id-ID" w:eastAsia="id-ID"/>
              </w:rPr>
              <w:t>very high</w:t>
            </w:r>
          </w:p>
        </w:tc>
      </w:tr>
      <w:tr w:rsidR="005553AC" w:rsidRPr="005553AC" w:rsidTr="005553AC">
        <w:trPr>
          <w:jc w:val="center"/>
        </w:trPr>
        <w:tc>
          <w:tcPr>
            <w:tcW w:w="5752" w:type="dxa"/>
            <w:gridSpan w:val="3"/>
            <w:tcBorders>
              <w:top w:val="single" w:sz="4" w:space="0" w:color="auto"/>
            </w:tcBorders>
            <w:shd w:val="clear" w:color="auto" w:fill="auto"/>
            <w:vAlign w:val="center"/>
          </w:tcPr>
          <w:p w:rsidR="005553AC" w:rsidRPr="005553AC" w:rsidRDefault="005553AC" w:rsidP="00386E5B">
            <w:pPr>
              <w:pStyle w:val="NoSpacing"/>
              <w:rPr>
                <w:rFonts w:ascii="Times New Roman" w:eastAsia="Times New Roman" w:hAnsi="Times New Roman"/>
                <w:i/>
                <w:sz w:val="20"/>
                <w:szCs w:val="20"/>
                <w:lang w:val="id-ID" w:eastAsia="id-ID"/>
              </w:rPr>
            </w:pPr>
            <w:r w:rsidRPr="005553AC">
              <w:rPr>
                <w:rFonts w:ascii="Times New Roman" w:eastAsia="Times New Roman" w:hAnsi="Times New Roman"/>
                <w:i/>
                <w:sz w:val="20"/>
                <w:szCs w:val="20"/>
                <w:lang w:val="id-ID" w:eastAsia="id-ID"/>
              </w:rPr>
              <w:t>*) Significant at 99% confidence level*</w:t>
            </w:r>
          </w:p>
        </w:tc>
      </w:tr>
    </w:tbl>
    <w:p w:rsidR="005553AC" w:rsidRDefault="005553AC" w:rsidP="005553AC">
      <w:pPr>
        <w:pStyle w:val="NoSpacing"/>
        <w:jc w:val="both"/>
        <w:rPr>
          <w:rFonts w:ascii="Times New Roman" w:hAnsi="Times New Roman"/>
          <w:b/>
          <w:sz w:val="24"/>
          <w:szCs w:val="24"/>
          <w:lang w:val="id-ID"/>
        </w:rPr>
      </w:pPr>
    </w:p>
    <w:p w:rsidR="005553AC" w:rsidRDefault="005553AC" w:rsidP="005553AC">
      <w:pPr>
        <w:pStyle w:val="NoSpacing"/>
        <w:jc w:val="both"/>
        <w:rPr>
          <w:rFonts w:ascii="Times New Roman" w:hAnsi="Times New Roman"/>
          <w:b/>
          <w:sz w:val="24"/>
          <w:szCs w:val="24"/>
          <w:lang w:val="id-ID"/>
        </w:rPr>
      </w:pPr>
      <w:r w:rsidRPr="00072B00">
        <w:rPr>
          <w:rFonts w:ascii="Times New Roman" w:hAnsi="Times New Roman"/>
          <w:b/>
          <w:sz w:val="24"/>
          <w:szCs w:val="24"/>
          <w:lang w:val="id-ID"/>
        </w:rPr>
        <w:t xml:space="preserve">The Cluster Analysis for the Modification of Sharpe Ratio </w:t>
      </w:r>
    </w:p>
    <w:p w:rsidR="005553AC" w:rsidRDefault="005553AC" w:rsidP="005553AC">
      <w:pPr>
        <w:pStyle w:val="NoSpacing"/>
        <w:jc w:val="both"/>
        <w:rPr>
          <w:rFonts w:ascii="Times New Roman" w:hAnsi="Times New Roman"/>
          <w:b/>
          <w:sz w:val="24"/>
          <w:szCs w:val="24"/>
          <w:lang w:val="id-ID"/>
        </w:rPr>
      </w:pPr>
    </w:p>
    <w:p w:rsidR="005553AC" w:rsidRPr="00072B00" w:rsidRDefault="005553AC" w:rsidP="005553AC">
      <w:pPr>
        <w:pStyle w:val="NoSpacing"/>
        <w:jc w:val="both"/>
        <w:rPr>
          <w:rFonts w:ascii="Times New Roman" w:eastAsia="Times New Roman" w:hAnsi="Times New Roman"/>
          <w:bCs/>
          <w:sz w:val="24"/>
          <w:szCs w:val="24"/>
          <w:lang w:val="id-ID"/>
        </w:rPr>
      </w:pPr>
      <w:r w:rsidRPr="00072B00">
        <w:rPr>
          <w:rFonts w:ascii="Times New Roman" w:eastAsia="Times New Roman" w:hAnsi="Times New Roman"/>
          <w:bCs/>
          <w:sz w:val="24"/>
          <w:szCs w:val="24"/>
          <w:lang w:val="id-ID"/>
        </w:rPr>
        <w:t>Clu</w:t>
      </w:r>
      <w:r w:rsidR="002D5CC1">
        <w:rPr>
          <w:rFonts w:ascii="Times New Roman" w:eastAsia="Times New Roman" w:hAnsi="Times New Roman"/>
          <w:bCs/>
          <w:sz w:val="24"/>
          <w:szCs w:val="24"/>
          <w:lang w:val="id-ID"/>
        </w:rPr>
        <w:t xml:space="preserve">ster analysis aims to group </w:t>
      </w:r>
      <w:r w:rsidRPr="00072B00">
        <w:rPr>
          <w:rFonts w:ascii="Times New Roman" w:eastAsia="Times New Roman" w:hAnsi="Times New Roman"/>
          <w:bCs/>
          <w:sz w:val="24"/>
          <w:szCs w:val="24"/>
          <w:lang w:val="id-ID"/>
        </w:rPr>
        <w:t xml:space="preserve">five modifications of </w:t>
      </w:r>
      <w:r>
        <w:rPr>
          <w:rFonts w:ascii="Times New Roman" w:eastAsia="Times New Roman" w:hAnsi="Times New Roman"/>
          <w:bCs/>
          <w:sz w:val="24"/>
          <w:szCs w:val="24"/>
          <w:lang w:val="id-ID"/>
        </w:rPr>
        <w:t xml:space="preserve">the </w:t>
      </w:r>
      <w:r w:rsidRPr="00072B00">
        <w:rPr>
          <w:rFonts w:ascii="Times New Roman" w:eastAsia="Times New Roman" w:hAnsi="Times New Roman"/>
          <w:bCs/>
          <w:sz w:val="24"/>
          <w:szCs w:val="24"/>
          <w:lang w:val="id-ID"/>
        </w:rPr>
        <w:t xml:space="preserve">Sharpe </w:t>
      </w:r>
      <w:r>
        <w:rPr>
          <w:rFonts w:ascii="Times New Roman" w:eastAsia="Times New Roman" w:hAnsi="Times New Roman"/>
          <w:bCs/>
          <w:sz w:val="24"/>
          <w:szCs w:val="24"/>
          <w:lang w:val="id-ID"/>
        </w:rPr>
        <w:t>R</w:t>
      </w:r>
      <w:r w:rsidRPr="00072B00">
        <w:rPr>
          <w:rFonts w:ascii="Times New Roman" w:eastAsia="Times New Roman" w:hAnsi="Times New Roman"/>
          <w:bCs/>
          <w:sz w:val="24"/>
          <w:szCs w:val="24"/>
          <w:lang w:val="id-ID"/>
        </w:rPr>
        <w:t>atio into several groups, based on the proximity of the measurement results. Looking at the dendrogram in figure 2, the five models ca</w:t>
      </w:r>
      <w:r>
        <w:rPr>
          <w:rFonts w:ascii="Times New Roman" w:eastAsia="Times New Roman" w:hAnsi="Times New Roman"/>
          <w:bCs/>
          <w:sz w:val="24"/>
          <w:szCs w:val="24"/>
          <w:lang w:val="id-ID"/>
        </w:rPr>
        <w:t>n be grouped into two</w:t>
      </w:r>
      <w:r w:rsidRPr="00072B00">
        <w:rPr>
          <w:rFonts w:ascii="Times New Roman" w:eastAsia="Times New Roman" w:hAnsi="Times New Roman"/>
          <w:bCs/>
          <w:sz w:val="24"/>
          <w:szCs w:val="24"/>
          <w:lang w:val="id-ID"/>
        </w:rPr>
        <w:t xml:space="preserve"> clusters: the first group is MSR, MSR-INF, and MSR-GDP, the second group is MSR-NRF</w:t>
      </w:r>
      <w:r>
        <w:rPr>
          <w:rFonts w:ascii="Times New Roman" w:eastAsia="Times New Roman" w:hAnsi="Times New Roman"/>
          <w:bCs/>
          <w:sz w:val="24"/>
          <w:szCs w:val="24"/>
          <w:lang w:val="id-ID"/>
        </w:rPr>
        <w:t>,</w:t>
      </w:r>
      <w:r w:rsidRPr="00072B00">
        <w:rPr>
          <w:rFonts w:ascii="Times New Roman" w:eastAsia="Times New Roman" w:hAnsi="Times New Roman"/>
          <w:bCs/>
          <w:sz w:val="24"/>
          <w:szCs w:val="24"/>
          <w:lang w:val="id-ID"/>
        </w:rPr>
        <w:t xml:space="preserve"> and MSR-ZR.</w:t>
      </w:r>
    </w:p>
    <w:p w:rsidR="005553AC" w:rsidRPr="00072B00" w:rsidRDefault="005553AC" w:rsidP="005553AC">
      <w:pPr>
        <w:pStyle w:val="NoSpacing"/>
        <w:jc w:val="both"/>
        <w:rPr>
          <w:rFonts w:ascii="Times New Roman" w:hAnsi="Times New Roman"/>
          <w:sz w:val="24"/>
          <w:szCs w:val="24"/>
          <w:lang w:val="id-ID"/>
        </w:rPr>
      </w:pPr>
      <w:r w:rsidRPr="00072B00">
        <w:rPr>
          <w:rFonts w:ascii="Times New Roman" w:hAnsi="Times New Roman"/>
          <w:sz w:val="24"/>
          <w:szCs w:val="24"/>
          <w:lang w:val="id-ID"/>
        </w:rPr>
        <w:t xml:space="preserve">This is supported by Figure 3, especially in the measurement results at ASRI, INTP, and SMGR. It appears that MSR, MSR-INF, and MSR-GDP gave </w:t>
      </w:r>
      <w:r>
        <w:rPr>
          <w:rFonts w:ascii="Times New Roman" w:hAnsi="Times New Roman"/>
          <w:sz w:val="24"/>
          <w:szCs w:val="24"/>
          <w:lang w:val="id-ID"/>
        </w:rPr>
        <w:t xml:space="preserve">a </w:t>
      </w:r>
      <w:r w:rsidRPr="00072B00">
        <w:rPr>
          <w:rFonts w:ascii="Times New Roman" w:hAnsi="Times New Roman"/>
          <w:sz w:val="24"/>
          <w:szCs w:val="24"/>
          <w:lang w:val="id-ID"/>
        </w:rPr>
        <w:t xml:space="preserve">negative performance while MSR-NRF and MSR-ZR gave </w:t>
      </w:r>
      <w:r>
        <w:rPr>
          <w:rFonts w:ascii="Times New Roman" w:hAnsi="Times New Roman"/>
          <w:sz w:val="24"/>
          <w:szCs w:val="24"/>
          <w:lang w:val="id-ID"/>
        </w:rPr>
        <w:t xml:space="preserve">a </w:t>
      </w:r>
      <w:r w:rsidRPr="00072B00">
        <w:rPr>
          <w:rFonts w:ascii="Times New Roman" w:hAnsi="Times New Roman"/>
          <w:sz w:val="24"/>
          <w:szCs w:val="24"/>
          <w:lang w:val="id-ID"/>
        </w:rPr>
        <w:t>positive performance.</w:t>
      </w:r>
    </w:p>
    <w:p w:rsidR="005553AC" w:rsidRPr="00072B00" w:rsidRDefault="005553AC" w:rsidP="005553AC">
      <w:pPr>
        <w:pStyle w:val="NoSpacing"/>
        <w:jc w:val="both"/>
        <w:rPr>
          <w:rFonts w:ascii="Times New Roman" w:eastAsia="Times New Roman" w:hAnsi="Times New Roman"/>
          <w:bCs/>
          <w:sz w:val="24"/>
          <w:szCs w:val="24"/>
          <w:lang w:val="id-ID"/>
        </w:rPr>
      </w:pPr>
    </w:p>
    <w:p w:rsidR="005553AC" w:rsidRPr="00072B00" w:rsidRDefault="005553AC" w:rsidP="005553AC">
      <w:pPr>
        <w:pStyle w:val="NoSpacing"/>
        <w:jc w:val="center"/>
        <w:rPr>
          <w:rFonts w:ascii="Times New Roman" w:eastAsia="Times New Roman" w:hAnsi="Times New Roman"/>
          <w:bCs/>
          <w:sz w:val="24"/>
          <w:szCs w:val="24"/>
          <w:lang w:val="id-ID"/>
        </w:rPr>
      </w:pPr>
      <w:r>
        <w:rPr>
          <w:rFonts w:ascii="Times New Roman" w:eastAsia="Times New Roman" w:hAnsi="Times New Roman"/>
          <w:noProof/>
          <w:sz w:val="24"/>
          <w:szCs w:val="24"/>
          <w:lang w:val="id-ID" w:eastAsia="id-ID"/>
        </w:rPr>
        <w:drawing>
          <wp:inline distT="0" distB="0" distL="0" distR="0">
            <wp:extent cx="3550285" cy="300164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3550285" cy="3001645"/>
                    </a:xfrm>
                    <a:prstGeom prst="rect">
                      <a:avLst/>
                    </a:prstGeom>
                    <a:noFill/>
                    <a:ln w="9525">
                      <a:noFill/>
                      <a:miter lim="800000"/>
                      <a:headEnd/>
                      <a:tailEnd/>
                    </a:ln>
                  </pic:spPr>
                </pic:pic>
              </a:graphicData>
            </a:graphic>
          </wp:inline>
        </w:drawing>
      </w:r>
    </w:p>
    <w:p w:rsidR="005553AC" w:rsidRPr="00072B00" w:rsidRDefault="005553AC" w:rsidP="005553AC">
      <w:pPr>
        <w:pStyle w:val="NoSpacing"/>
        <w:jc w:val="center"/>
        <w:rPr>
          <w:rFonts w:ascii="Times New Roman" w:eastAsia="Times New Roman" w:hAnsi="Times New Roman"/>
          <w:bCs/>
          <w:sz w:val="24"/>
          <w:szCs w:val="24"/>
          <w:lang w:val="id-ID"/>
        </w:rPr>
      </w:pPr>
    </w:p>
    <w:p w:rsidR="005553AC" w:rsidRPr="005553AC" w:rsidRDefault="005553AC" w:rsidP="005553AC">
      <w:pPr>
        <w:pStyle w:val="NoSpacing"/>
        <w:jc w:val="center"/>
        <w:rPr>
          <w:rFonts w:ascii="Times New Roman" w:eastAsia="Times New Roman" w:hAnsi="Times New Roman"/>
          <w:sz w:val="24"/>
          <w:szCs w:val="24"/>
          <w:lang w:val="id-ID" w:eastAsia="id-ID"/>
        </w:rPr>
      </w:pPr>
      <w:r w:rsidRPr="005553AC">
        <w:rPr>
          <w:rFonts w:ascii="Times New Roman" w:eastAsia="Times New Roman" w:hAnsi="Times New Roman"/>
          <w:sz w:val="24"/>
          <w:szCs w:val="24"/>
          <w:lang w:val="id-ID" w:eastAsia="id-ID"/>
        </w:rPr>
        <w:t>Figure 2.</w:t>
      </w:r>
      <w:r w:rsidRPr="005553AC">
        <w:rPr>
          <w:rFonts w:ascii="Times New Roman" w:eastAsia="Times New Roman" w:hAnsi="Times New Roman"/>
          <w:sz w:val="24"/>
          <w:szCs w:val="24"/>
          <w:lang w:eastAsia="id-ID"/>
        </w:rPr>
        <w:t xml:space="preserve"> </w:t>
      </w:r>
      <w:r w:rsidRPr="005553AC">
        <w:rPr>
          <w:rFonts w:ascii="Times New Roman" w:eastAsia="Times New Roman" w:hAnsi="Times New Roman"/>
          <w:sz w:val="24"/>
          <w:szCs w:val="24"/>
          <w:lang w:val="id-ID" w:eastAsia="id-ID"/>
        </w:rPr>
        <w:t xml:space="preserve"> </w:t>
      </w:r>
      <w:r w:rsidRPr="005553AC">
        <w:rPr>
          <w:rFonts w:ascii="Times New Roman" w:eastAsia="Times New Roman" w:hAnsi="Times New Roman"/>
          <w:sz w:val="24"/>
          <w:szCs w:val="24"/>
          <w:lang w:eastAsia="id-ID"/>
        </w:rPr>
        <w:t>Cluster Analysis Dend</w:t>
      </w:r>
      <w:r w:rsidRPr="005553AC">
        <w:rPr>
          <w:rFonts w:ascii="Times New Roman" w:eastAsia="Times New Roman" w:hAnsi="Times New Roman"/>
          <w:sz w:val="24"/>
          <w:szCs w:val="24"/>
          <w:lang w:val="id-ID" w:eastAsia="id-ID"/>
        </w:rPr>
        <w:t>r</w:t>
      </w:r>
      <w:r w:rsidRPr="005553AC">
        <w:rPr>
          <w:rFonts w:ascii="Times New Roman" w:eastAsia="Times New Roman" w:hAnsi="Times New Roman"/>
          <w:sz w:val="24"/>
          <w:szCs w:val="24"/>
          <w:lang w:eastAsia="id-ID"/>
        </w:rPr>
        <w:t xml:space="preserve">ogram for Modification </w:t>
      </w:r>
      <w:r w:rsidRPr="005553AC">
        <w:rPr>
          <w:rFonts w:ascii="Times New Roman" w:eastAsia="Times New Roman" w:hAnsi="Times New Roman"/>
          <w:sz w:val="24"/>
          <w:szCs w:val="24"/>
          <w:lang w:val="id-ID" w:eastAsia="id-ID"/>
        </w:rPr>
        <w:t xml:space="preserve">of </w:t>
      </w:r>
      <w:r w:rsidRPr="005553AC">
        <w:rPr>
          <w:rFonts w:ascii="Times New Roman" w:eastAsia="Times New Roman" w:hAnsi="Times New Roman"/>
          <w:sz w:val="24"/>
          <w:szCs w:val="24"/>
          <w:lang w:eastAsia="id-ID"/>
        </w:rPr>
        <w:t xml:space="preserve">Sharpe Ratio </w:t>
      </w:r>
    </w:p>
    <w:p w:rsidR="005553AC" w:rsidRDefault="005553AC" w:rsidP="005553AC">
      <w:pPr>
        <w:pStyle w:val="NoSpacing"/>
        <w:ind w:firstLine="720"/>
        <w:jc w:val="both"/>
        <w:rPr>
          <w:rFonts w:ascii="Times New Roman" w:eastAsia="Times New Roman" w:hAnsi="Times New Roman"/>
          <w:bCs/>
          <w:sz w:val="24"/>
          <w:szCs w:val="24"/>
          <w:lang w:val="id-ID"/>
        </w:rPr>
      </w:pPr>
    </w:p>
    <w:p w:rsidR="005553AC" w:rsidRPr="00072B00" w:rsidRDefault="005553AC" w:rsidP="005553AC">
      <w:pPr>
        <w:pStyle w:val="NoSpacing"/>
        <w:jc w:val="center"/>
        <w:rPr>
          <w:rFonts w:ascii="Times New Roman" w:hAnsi="Times New Roman"/>
          <w:sz w:val="24"/>
          <w:szCs w:val="24"/>
          <w:lang w:val="id-ID"/>
        </w:rPr>
      </w:pPr>
    </w:p>
    <w:p w:rsidR="005553AC" w:rsidRPr="00072B00" w:rsidRDefault="005553AC" w:rsidP="005553AC">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noProof/>
          <w:sz w:val="24"/>
          <w:szCs w:val="24"/>
          <w:lang w:val="id-ID" w:eastAsia="id-ID"/>
        </w:rPr>
        <w:drawing>
          <wp:inline distT="0" distB="0" distL="0" distR="0">
            <wp:extent cx="5368290" cy="3012440"/>
            <wp:effectExtent l="19050" t="0" r="381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5368290" cy="3012440"/>
                    </a:xfrm>
                    <a:prstGeom prst="rect">
                      <a:avLst/>
                    </a:prstGeom>
                    <a:noFill/>
                    <a:ln w="9525">
                      <a:noFill/>
                      <a:miter lim="800000"/>
                      <a:headEnd/>
                      <a:tailEnd/>
                    </a:ln>
                  </pic:spPr>
                </pic:pic>
              </a:graphicData>
            </a:graphic>
          </wp:inline>
        </w:drawing>
      </w:r>
    </w:p>
    <w:p w:rsidR="005553AC" w:rsidRPr="00072B00" w:rsidRDefault="005553AC" w:rsidP="005553AC">
      <w:pPr>
        <w:autoSpaceDE w:val="0"/>
        <w:autoSpaceDN w:val="0"/>
        <w:adjustRightInd w:val="0"/>
        <w:spacing w:after="0" w:line="240" w:lineRule="auto"/>
        <w:rPr>
          <w:rFonts w:ascii="Times New Roman" w:hAnsi="Times New Roman"/>
          <w:sz w:val="24"/>
          <w:szCs w:val="24"/>
          <w:lang w:eastAsia="id-ID"/>
        </w:rPr>
      </w:pPr>
    </w:p>
    <w:p w:rsidR="005553AC" w:rsidRDefault="005553AC" w:rsidP="005553AC">
      <w:pPr>
        <w:pStyle w:val="NoSpacing"/>
        <w:jc w:val="center"/>
        <w:rPr>
          <w:rFonts w:ascii="Times New Roman" w:hAnsi="Times New Roman"/>
          <w:sz w:val="24"/>
          <w:szCs w:val="24"/>
          <w:lang w:val="id-ID"/>
        </w:rPr>
      </w:pPr>
      <w:r w:rsidRPr="005553AC">
        <w:rPr>
          <w:rFonts w:ascii="Times New Roman" w:eastAsia="Times New Roman" w:hAnsi="Times New Roman"/>
          <w:sz w:val="24"/>
          <w:szCs w:val="24"/>
          <w:lang w:val="id-ID" w:eastAsia="id-ID"/>
        </w:rPr>
        <w:t>Figure</w:t>
      </w:r>
      <w:r w:rsidRPr="005553AC">
        <w:rPr>
          <w:rFonts w:ascii="Times New Roman" w:eastAsia="Times New Roman" w:hAnsi="Times New Roman"/>
          <w:sz w:val="24"/>
          <w:szCs w:val="24"/>
          <w:lang w:eastAsia="id-ID"/>
        </w:rPr>
        <w:t xml:space="preserve"> </w:t>
      </w:r>
      <w:r w:rsidRPr="005553AC">
        <w:rPr>
          <w:rFonts w:ascii="Times New Roman" w:eastAsia="Times New Roman" w:hAnsi="Times New Roman"/>
          <w:sz w:val="24"/>
          <w:szCs w:val="24"/>
          <w:lang w:val="id-ID" w:eastAsia="id-ID"/>
        </w:rPr>
        <w:t>3.</w:t>
      </w:r>
      <w:r w:rsidRPr="005553AC">
        <w:rPr>
          <w:rFonts w:ascii="Times New Roman" w:eastAsia="Times New Roman" w:hAnsi="Times New Roman"/>
          <w:sz w:val="24"/>
          <w:szCs w:val="24"/>
          <w:lang w:eastAsia="id-ID"/>
        </w:rPr>
        <w:t xml:space="preserve"> </w:t>
      </w:r>
      <w:r w:rsidRPr="005553AC">
        <w:rPr>
          <w:rFonts w:ascii="Times New Roman" w:hAnsi="Times New Roman"/>
          <w:bCs/>
          <w:sz w:val="24"/>
          <w:szCs w:val="24"/>
          <w:lang w:val="id-ID"/>
        </w:rPr>
        <w:t>Chart of Islamic Stock Performance for Modification of Sharpe Ratio</w:t>
      </w:r>
    </w:p>
    <w:p w:rsidR="005553AC" w:rsidRPr="005553AC" w:rsidRDefault="005553AC" w:rsidP="005553AC">
      <w:pPr>
        <w:pStyle w:val="NoSpacing"/>
        <w:jc w:val="center"/>
        <w:rPr>
          <w:rFonts w:ascii="Times New Roman" w:hAnsi="Times New Roman"/>
          <w:sz w:val="24"/>
          <w:szCs w:val="24"/>
          <w:lang w:val="id-ID"/>
        </w:rPr>
      </w:pPr>
    </w:p>
    <w:p w:rsidR="00317FEE" w:rsidRPr="000F3565" w:rsidRDefault="00317FEE" w:rsidP="00317FEE">
      <w:pPr>
        <w:pStyle w:val="ADICSectionHeading"/>
        <w:spacing w:before="100" w:beforeAutospacing="1" w:after="100" w:afterAutospacing="1" w:line="276" w:lineRule="auto"/>
        <w:rPr>
          <w:rFonts w:ascii="Times New Roman" w:hAnsi="Times New Roman"/>
          <w:sz w:val="24"/>
        </w:rPr>
      </w:pPr>
      <w:r w:rsidRPr="000F3565">
        <w:rPr>
          <w:rFonts w:ascii="Times New Roman" w:hAnsi="Times New Roman"/>
          <w:sz w:val="24"/>
        </w:rPr>
        <w:t>CONCLUSIONS</w:t>
      </w:r>
    </w:p>
    <w:p w:rsidR="005553AC" w:rsidRPr="00072B00" w:rsidRDefault="005553AC" w:rsidP="005553AC">
      <w:pPr>
        <w:pStyle w:val="NoSpacing"/>
        <w:jc w:val="both"/>
        <w:rPr>
          <w:rFonts w:ascii="Times New Roman" w:eastAsia="Times New Roman" w:hAnsi="Times New Roman"/>
          <w:bCs/>
          <w:sz w:val="24"/>
          <w:szCs w:val="24"/>
          <w:lang w:val="id-ID"/>
        </w:rPr>
      </w:pPr>
      <w:r w:rsidRPr="00072B00">
        <w:rPr>
          <w:rFonts w:ascii="Times New Roman" w:eastAsia="Times New Roman" w:hAnsi="Times New Roman"/>
          <w:bCs/>
          <w:sz w:val="24"/>
          <w:szCs w:val="24"/>
          <w:lang w:val="id-ID"/>
        </w:rPr>
        <w:t>The modification of Sharpe Ratio with interest rate and Va</w:t>
      </w:r>
      <w:r>
        <w:rPr>
          <w:rFonts w:ascii="Times New Roman" w:eastAsia="Times New Roman" w:hAnsi="Times New Roman"/>
          <w:bCs/>
          <w:sz w:val="24"/>
          <w:szCs w:val="24"/>
          <w:lang w:val="id-ID"/>
        </w:rPr>
        <w:t>lue at Risk (VaR) (MSR) with four</w:t>
      </w:r>
      <w:r w:rsidRPr="00072B00">
        <w:rPr>
          <w:rFonts w:ascii="Times New Roman" w:eastAsia="Times New Roman" w:hAnsi="Times New Roman"/>
          <w:bCs/>
          <w:sz w:val="24"/>
          <w:szCs w:val="24"/>
          <w:lang w:val="id-ID"/>
        </w:rPr>
        <w:t xml:space="preserve"> other modification</w:t>
      </w:r>
      <w:r>
        <w:rPr>
          <w:rFonts w:ascii="Times New Roman" w:eastAsia="Times New Roman" w:hAnsi="Times New Roman"/>
          <w:bCs/>
          <w:sz w:val="24"/>
          <w:szCs w:val="24"/>
          <w:lang w:val="id-ID"/>
        </w:rPr>
        <w:t>s</w:t>
      </w:r>
      <w:r w:rsidRPr="00072B00">
        <w:rPr>
          <w:rFonts w:ascii="Times New Roman" w:eastAsia="Times New Roman" w:hAnsi="Times New Roman"/>
          <w:bCs/>
          <w:sz w:val="24"/>
          <w:szCs w:val="24"/>
          <w:lang w:val="id-ID"/>
        </w:rPr>
        <w:t xml:space="preserve"> of Sharpe Ratio, namely models that eliminate interest rates (MSR-NRF), models that replace them with </w:t>
      </w:r>
      <w:r>
        <w:rPr>
          <w:rFonts w:ascii="Times New Roman" w:eastAsia="Times New Roman" w:hAnsi="Times New Roman"/>
          <w:bCs/>
          <w:sz w:val="24"/>
          <w:szCs w:val="24"/>
          <w:lang w:val="id-ID"/>
        </w:rPr>
        <w:t>zakah</w:t>
      </w:r>
      <w:r w:rsidRPr="00072B00">
        <w:rPr>
          <w:rFonts w:ascii="Times New Roman" w:eastAsia="Times New Roman" w:hAnsi="Times New Roman"/>
          <w:bCs/>
          <w:sz w:val="24"/>
          <w:szCs w:val="24"/>
          <w:lang w:val="id-ID"/>
        </w:rPr>
        <w:t xml:space="preserve"> rates (MSR-ZR), models that replace them with inflation (MSR-INF), and models that replace them with gross domestic products (GDP) (MSR-GDP) gives almost the same results or has a very high level of </w:t>
      </w:r>
      <w:r w:rsidRPr="00072B00">
        <w:rPr>
          <w:rFonts w:ascii="Times New Roman" w:hAnsi="Times New Roman"/>
          <w:sz w:val="24"/>
          <w:szCs w:val="24"/>
          <w:lang w:val="id-ID"/>
        </w:rPr>
        <w:t>suitability</w:t>
      </w:r>
      <w:r w:rsidRPr="00072B00">
        <w:rPr>
          <w:rFonts w:ascii="Times New Roman" w:eastAsia="Times New Roman" w:hAnsi="Times New Roman"/>
          <w:bCs/>
          <w:sz w:val="24"/>
          <w:szCs w:val="24"/>
          <w:lang w:val="id-ID"/>
        </w:rPr>
        <w:t xml:space="preserve"> in measuring the performance of Islamic stocks in Indonesia in the period January 2011 - July 2018.</w:t>
      </w:r>
    </w:p>
    <w:p w:rsidR="005553AC" w:rsidRPr="00072B00" w:rsidRDefault="005553AC" w:rsidP="005553AC">
      <w:pPr>
        <w:pStyle w:val="NoSpacing"/>
        <w:jc w:val="both"/>
        <w:rPr>
          <w:rFonts w:ascii="Times New Roman" w:eastAsia="Times New Roman" w:hAnsi="Times New Roman"/>
          <w:sz w:val="24"/>
          <w:szCs w:val="24"/>
          <w:lang w:val="id-ID" w:eastAsia="id-ID"/>
        </w:rPr>
      </w:pPr>
      <w:r w:rsidRPr="00072B00">
        <w:rPr>
          <w:rFonts w:ascii="Times New Roman" w:eastAsia="Times New Roman" w:hAnsi="Times New Roman"/>
          <w:sz w:val="24"/>
          <w:szCs w:val="24"/>
          <w:lang w:val="id-ID" w:eastAsia="id-ID"/>
        </w:rPr>
        <w:t>Judging from the closeness of the results of performance measurement, the fiv</w:t>
      </w:r>
      <w:r>
        <w:rPr>
          <w:rFonts w:ascii="Times New Roman" w:eastAsia="Times New Roman" w:hAnsi="Times New Roman"/>
          <w:sz w:val="24"/>
          <w:szCs w:val="24"/>
          <w:lang w:val="id-ID" w:eastAsia="id-ID"/>
        </w:rPr>
        <w:t>e models can be grouped into two</w:t>
      </w:r>
      <w:r w:rsidRPr="00072B00">
        <w:rPr>
          <w:rFonts w:ascii="Times New Roman" w:eastAsia="Times New Roman" w:hAnsi="Times New Roman"/>
          <w:sz w:val="24"/>
          <w:szCs w:val="24"/>
          <w:lang w:val="id-ID" w:eastAsia="id-ID"/>
        </w:rPr>
        <w:t xml:space="preserve">, namely models with interest rates, inflation, and GDP as the first group, while models without interest rates and </w:t>
      </w:r>
      <w:r>
        <w:rPr>
          <w:rFonts w:ascii="Times New Roman" w:eastAsia="Times New Roman" w:hAnsi="Times New Roman"/>
          <w:sz w:val="24"/>
          <w:szCs w:val="24"/>
          <w:lang w:val="id-ID" w:eastAsia="id-ID"/>
        </w:rPr>
        <w:t>zakah</w:t>
      </w:r>
      <w:r w:rsidRPr="00072B00">
        <w:rPr>
          <w:rFonts w:ascii="Times New Roman" w:eastAsia="Times New Roman" w:hAnsi="Times New Roman"/>
          <w:sz w:val="24"/>
          <w:szCs w:val="24"/>
          <w:lang w:val="id-ID" w:eastAsia="id-ID"/>
        </w:rPr>
        <w:t>- rate as the second group. This means, on the concept of Islamic finance, risk-free return</w:t>
      </w:r>
      <w:r>
        <w:rPr>
          <w:rFonts w:ascii="Times New Roman" w:eastAsia="Times New Roman" w:hAnsi="Times New Roman"/>
          <w:sz w:val="24"/>
          <w:szCs w:val="24"/>
          <w:lang w:val="id-ID" w:eastAsia="id-ID"/>
        </w:rPr>
        <w:t xml:space="preserve">s can be measured using these </w:t>
      </w:r>
      <w:r>
        <w:rPr>
          <w:rFonts w:ascii="Times New Roman" w:hAnsi="Times New Roman"/>
          <w:sz w:val="24"/>
          <w:szCs w:val="24"/>
          <w:lang w:val="id-ID"/>
        </w:rPr>
        <w:t>four</w:t>
      </w:r>
      <w:r w:rsidRPr="00072B00">
        <w:rPr>
          <w:rFonts w:ascii="Times New Roman" w:hAnsi="Times New Roman"/>
          <w:sz w:val="24"/>
          <w:szCs w:val="24"/>
          <w:lang w:val="id-ID"/>
        </w:rPr>
        <w:t xml:space="preserve"> </w:t>
      </w:r>
      <w:r w:rsidRPr="00072B00">
        <w:rPr>
          <w:rFonts w:ascii="Times New Roman" w:eastAsia="Times New Roman" w:hAnsi="Times New Roman"/>
          <w:sz w:val="24"/>
          <w:szCs w:val="24"/>
          <w:lang w:val="id-ID" w:eastAsia="id-ID"/>
        </w:rPr>
        <w:t>approaches</w:t>
      </w:r>
      <w:r>
        <w:rPr>
          <w:rFonts w:ascii="Times New Roman" w:eastAsia="Times New Roman" w:hAnsi="Times New Roman"/>
          <w:sz w:val="24"/>
          <w:szCs w:val="24"/>
          <w:lang w:val="id-ID" w:eastAsia="id-ID"/>
        </w:rPr>
        <w:t>.</w:t>
      </w:r>
    </w:p>
    <w:p w:rsidR="00317FEE" w:rsidRPr="000F3565" w:rsidRDefault="00317FEE" w:rsidP="00317FEE">
      <w:pPr>
        <w:pStyle w:val="ADICSectionHeading"/>
        <w:spacing w:before="100" w:beforeAutospacing="1" w:after="100" w:afterAutospacing="1" w:line="276" w:lineRule="auto"/>
        <w:rPr>
          <w:rFonts w:ascii="Times New Roman" w:hAnsi="Times New Roman"/>
          <w:sz w:val="24"/>
        </w:rPr>
      </w:pPr>
      <w:r w:rsidRPr="000F3565">
        <w:rPr>
          <w:rFonts w:ascii="Times New Roman" w:hAnsi="Times New Roman"/>
          <w:sz w:val="24"/>
        </w:rPr>
        <w:t>REFERENCES</w:t>
      </w:r>
    </w:p>
    <w:p w:rsidR="005553AC" w:rsidRDefault="00645AE7" w:rsidP="005553AC">
      <w:pPr>
        <w:pStyle w:val="EndNoteBibliography"/>
        <w:spacing w:before="120" w:after="120"/>
        <w:ind w:left="720" w:hanging="720"/>
        <w:jc w:val="both"/>
        <w:rPr>
          <w:rFonts w:ascii="Times New Roman" w:hAnsi="Times New Roman"/>
          <w:sz w:val="24"/>
          <w:szCs w:val="24"/>
          <w:lang w:val="id-ID"/>
        </w:rPr>
      </w:pPr>
      <w:r w:rsidRPr="00645AE7">
        <w:rPr>
          <w:rFonts w:ascii="Times New Roman" w:eastAsia="Times New Roman" w:hAnsi="Times New Roman" w:cs="Times New Roman"/>
          <w:sz w:val="24"/>
        </w:rPr>
        <w:fldChar w:fldCharType="begin"/>
      </w:r>
      <w:r w:rsidR="00317FEE" w:rsidRPr="000A50EF">
        <w:rPr>
          <w:rFonts w:ascii="Times New Roman" w:hAnsi="Times New Roman" w:cs="Times New Roman"/>
          <w:sz w:val="24"/>
        </w:rPr>
        <w:instrText xml:space="preserve"> ADDIN EN.REFLIST </w:instrText>
      </w:r>
      <w:r w:rsidRPr="00645AE7">
        <w:rPr>
          <w:rFonts w:ascii="Times New Roman" w:eastAsia="Times New Roman" w:hAnsi="Times New Roman" w:cs="Times New Roman"/>
          <w:sz w:val="24"/>
        </w:rPr>
        <w:fldChar w:fldCharType="separate"/>
      </w:r>
      <w:r w:rsidR="005553AC" w:rsidRPr="00BB743B">
        <w:rPr>
          <w:rFonts w:ascii="Times New Roman" w:hAnsi="Times New Roman"/>
          <w:sz w:val="24"/>
          <w:szCs w:val="24"/>
          <w:lang w:val="id-ID"/>
        </w:rPr>
        <w:t xml:space="preserve">Albaity, M., </w:t>
      </w:r>
      <w:r w:rsidR="005553AC">
        <w:rPr>
          <w:rFonts w:ascii="Times New Roman" w:hAnsi="Times New Roman"/>
          <w:sz w:val="24"/>
          <w:szCs w:val="24"/>
          <w:lang w:val="id-ID"/>
        </w:rPr>
        <w:t>&amp;</w:t>
      </w:r>
      <w:r w:rsidR="005553AC" w:rsidRPr="00BB743B">
        <w:rPr>
          <w:rFonts w:ascii="Times New Roman" w:hAnsi="Times New Roman"/>
          <w:sz w:val="24"/>
          <w:szCs w:val="24"/>
          <w:lang w:val="id-ID"/>
        </w:rPr>
        <w:t xml:space="preserve"> Ahmad, R. (2008). Performance of Syariah and Composite Indices: Evidence from Bursa Malaysia. </w:t>
      </w:r>
      <w:r w:rsidR="005553AC" w:rsidRPr="00BB743B">
        <w:rPr>
          <w:rFonts w:ascii="Times New Roman" w:hAnsi="Times New Roman"/>
          <w:i/>
          <w:sz w:val="24"/>
          <w:szCs w:val="24"/>
          <w:lang w:val="id-ID"/>
        </w:rPr>
        <w:t>Asian Academy of Managemen</w:t>
      </w:r>
      <w:r w:rsidR="002D5CC1">
        <w:rPr>
          <w:rFonts w:ascii="Times New Roman" w:hAnsi="Times New Roman"/>
          <w:i/>
          <w:sz w:val="24"/>
          <w:szCs w:val="24"/>
          <w:lang w:val="id-ID"/>
        </w:rPr>
        <w:t>t</w:t>
      </w:r>
      <w:r w:rsidR="005553AC" w:rsidRPr="00BB743B">
        <w:rPr>
          <w:rFonts w:ascii="Times New Roman" w:hAnsi="Times New Roman"/>
          <w:i/>
          <w:sz w:val="24"/>
          <w:szCs w:val="24"/>
          <w:lang w:val="id-ID"/>
        </w:rPr>
        <w:t xml:space="preserve"> Journal of Accounting and Finance (AAMJAF)</w:t>
      </w:r>
      <w:r w:rsidR="005553AC" w:rsidRPr="00BB743B">
        <w:rPr>
          <w:rFonts w:ascii="Times New Roman" w:hAnsi="Times New Roman"/>
          <w:sz w:val="24"/>
          <w:szCs w:val="24"/>
          <w:lang w:val="id-ID"/>
        </w:rPr>
        <w:t xml:space="preserve">, Vol. 4 (1), 23-43. </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Allen, S. (2003). </w:t>
      </w:r>
      <w:r w:rsidRPr="00BB743B">
        <w:rPr>
          <w:rFonts w:ascii="Times New Roman" w:hAnsi="Times New Roman"/>
          <w:i/>
          <w:sz w:val="24"/>
          <w:szCs w:val="24"/>
          <w:lang w:val="id-ID"/>
        </w:rPr>
        <w:t>Financial Risk Management. A Practitioner's Guide to Managing Market and Credit Risk</w:t>
      </w:r>
      <w:r w:rsidRPr="00BB743B">
        <w:rPr>
          <w:rFonts w:ascii="Times New Roman" w:hAnsi="Times New Roman"/>
          <w:sz w:val="24"/>
          <w:szCs w:val="24"/>
          <w:lang w:val="id-ID"/>
        </w:rPr>
        <w:t>. New Jersey: John Wiley &amp; Sons.</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Andhyka, B. (2017). Sharia Equity Fund Performance Analysis (Indonesia's Case Study). </w:t>
      </w:r>
      <w:r w:rsidRPr="00BB743B">
        <w:rPr>
          <w:rFonts w:ascii="Times New Roman" w:hAnsi="Times New Roman"/>
          <w:i/>
          <w:sz w:val="24"/>
          <w:szCs w:val="24"/>
          <w:lang w:val="id-ID"/>
        </w:rPr>
        <w:t>IOSR-JBM: Journal of Business and Management</w:t>
      </w:r>
      <w:r w:rsidRPr="00BB743B">
        <w:rPr>
          <w:rFonts w:ascii="Times New Roman" w:hAnsi="Times New Roman"/>
          <w:sz w:val="24"/>
          <w:szCs w:val="24"/>
          <w:lang w:val="id-ID"/>
        </w:rPr>
        <w:t xml:space="preserve">. Volume 19 (11). Ver. VI. 22-23. </w:t>
      </w:r>
      <w:r w:rsidRPr="00BB743B">
        <w:rPr>
          <w:rFonts w:ascii="Times New Roman" w:hAnsi="Times New Roman"/>
          <w:sz w:val="24"/>
          <w:szCs w:val="24"/>
        </w:rPr>
        <w:t>DOI: 10.9790/487X-1911062231</w:t>
      </w:r>
      <w:r w:rsidRPr="00BB743B">
        <w:rPr>
          <w:rFonts w:ascii="Times New Roman" w:hAnsi="Times New Roman"/>
          <w:sz w:val="24"/>
          <w:szCs w:val="24"/>
          <w:lang w:val="id-ID"/>
        </w:rPr>
        <w:t>.</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rPr>
        <w:t xml:space="preserve">Ayub, M. </w:t>
      </w:r>
      <w:r w:rsidRPr="00BB743B">
        <w:rPr>
          <w:rFonts w:ascii="Times New Roman" w:hAnsi="Times New Roman"/>
          <w:sz w:val="24"/>
          <w:szCs w:val="24"/>
          <w:lang w:val="id-ID"/>
        </w:rPr>
        <w:t>(</w:t>
      </w:r>
      <w:r w:rsidRPr="00BB743B">
        <w:rPr>
          <w:rFonts w:ascii="Times New Roman" w:hAnsi="Times New Roman"/>
          <w:sz w:val="24"/>
          <w:szCs w:val="24"/>
        </w:rPr>
        <w:t>200</w:t>
      </w:r>
      <w:r w:rsidRPr="00BB743B">
        <w:rPr>
          <w:rFonts w:ascii="Times New Roman" w:hAnsi="Times New Roman"/>
          <w:sz w:val="24"/>
          <w:szCs w:val="24"/>
          <w:lang w:val="id-ID"/>
        </w:rPr>
        <w:t>7)</w:t>
      </w:r>
      <w:r w:rsidRPr="00BB743B">
        <w:rPr>
          <w:rFonts w:ascii="Times New Roman" w:hAnsi="Times New Roman"/>
          <w:sz w:val="24"/>
          <w:szCs w:val="24"/>
        </w:rPr>
        <w:t xml:space="preserve">. </w:t>
      </w:r>
      <w:r w:rsidRPr="00BB743B">
        <w:rPr>
          <w:rFonts w:ascii="Times New Roman" w:hAnsi="Times New Roman"/>
          <w:i/>
          <w:iCs/>
          <w:sz w:val="24"/>
          <w:szCs w:val="24"/>
        </w:rPr>
        <w:t>Understanding Islamic Finance</w:t>
      </w:r>
      <w:r w:rsidRPr="00BB743B">
        <w:rPr>
          <w:rFonts w:ascii="Times New Roman" w:hAnsi="Times New Roman"/>
          <w:sz w:val="24"/>
          <w:szCs w:val="24"/>
        </w:rPr>
        <w:t xml:space="preserve">. </w:t>
      </w:r>
      <w:r w:rsidRPr="00BB743B">
        <w:rPr>
          <w:rFonts w:ascii="Times New Roman" w:hAnsi="Times New Roman"/>
          <w:sz w:val="24"/>
          <w:szCs w:val="24"/>
          <w:lang w:val="id-ID"/>
        </w:rPr>
        <w:t>John Wiley &amp; Sons Ltd, The Atrium, Southern Gate, Chichester, West Sussex, England</w:t>
      </w:r>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lang w:val="id-ID"/>
        </w:rPr>
        <w:t xml:space="preserve">Ashraf, D. (2013). Performance evaluation of Islamic mutual funds relative to conventional funds: Empirical evidence from Saudi Arabia. </w:t>
      </w:r>
      <w:r w:rsidRPr="00BB743B">
        <w:rPr>
          <w:rFonts w:ascii="Times New Roman" w:hAnsi="Times New Roman"/>
          <w:i/>
          <w:sz w:val="24"/>
          <w:szCs w:val="24"/>
          <w:lang w:val="id-ID"/>
        </w:rPr>
        <w:t>International Journal of Islamic and Middle Eastern Finance and Management</w:t>
      </w:r>
      <w:r w:rsidRPr="00BB743B">
        <w:rPr>
          <w:rFonts w:ascii="Times New Roman" w:hAnsi="Times New Roman"/>
          <w:sz w:val="24"/>
          <w:szCs w:val="24"/>
          <w:lang w:val="id-ID"/>
        </w:rPr>
        <w:t xml:space="preserve">. Vol. 6 (2). 105-121. </w:t>
      </w:r>
      <w:hyperlink r:id="rId30" w:tooltip="DOI: https://doi.org/10.1108/17538391311329815" w:history="1">
        <w:r w:rsidRPr="00BB743B">
          <w:rPr>
            <w:rStyle w:val="Hyperlink"/>
            <w:rFonts w:ascii="Times New Roman" w:hAnsi="Times New Roman"/>
            <w:sz w:val="24"/>
            <w:szCs w:val="24"/>
            <w:shd w:val="clear" w:color="auto" w:fill="FFFFFF"/>
          </w:rPr>
          <w:t>https://doi.org/10.1108/17538391311329815</w:t>
        </w:r>
      </w:hyperlink>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Basel Committee on Banking Supervision, BCBS. (2011). </w:t>
      </w:r>
      <w:r w:rsidRPr="00BB743B">
        <w:rPr>
          <w:rFonts w:ascii="Times New Roman" w:hAnsi="Times New Roman"/>
          <w:i/>
          <w:sz w:val="24"/>
          <w:szCs w:val="24"/>
          <w:lang w:val="id-ID"/>
        </w:rPr>
        <w:t>Massages from Academic Literature on Risk Measurement for the Trading Book</w:t>
      </w:r>
      <w:r w:rsidRPr="00BB743B">
        <w:rPr>
          <w:rFonts w:ascii="Times New Roman" w:hAnsi="Times New Roman"/>
          <w:sz w:val="24"/>
          <w:szCs w:val="24"/>
          <w:lang w:val="id-ID"/>
        </w:rPr>
        <w:t>. Working Paper No. 9. Retrieved from BIS website: http://www.bis.org.</w:t>
      </w:r>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lang w:val="id-ID"/>
        </w:rPr>
        <w:t xml:space="preserve">Camilleri, S. J., </w:t>
      </w:r>
      <w:r>
        <w:rPr>
          <w:rFonts w:ascii="Times New Roman" w:hAnsi="Times New Roman"/>
          <w:sz w:val="24"/>
          <w:szCs w:val="24"/>
          <w:lang w:val="id-ID"/>
        </w:rPr>
        <w:t>&amp;</w:t>
      </w:r>
      <w:r w:rsidRPr="00BB743B">
        <w:rPr>
          <w:rFonts w:ascii="Times New Roman" w:hAnsi="Times New Roman"/>
          <w:sz w:val="24"/>
          <w:szCs w:val="24"/>
          <w:lang w:val="id-ID"/>
        </w:rPr>
        <w:t xml:space="preserve"> Farrugia, R. (2018). The Risk-Adjusted Performance of Alternative Investment Funds and UCITS; A Comparative Analysis. </w:t>
      </w:r>
      <w:r w:rsidRPr="00BB743B">
        <w:rPr>
          <w:rFonts w:ascii="Times New Roman" w:hAnsi="Times New Roman"/>
          <w:i/>
          <w:sz w:val="24"/>
          <w:szCs w:val="24"/>
          <w:lang w:val="id-ID"/>
        </w:rPr>
        <w:t>International Journal of Economics and Finance</w:t>
      </w:r>
      <w:r w:rsidRPr="00BB743B">
        <w:rPr>
          <w:rFonts w:ascii="Times New Roman" w:hAnsi="Times New Roman"/>
          <w:sz w:val="24"/>
          <w:szCs w:val="24"/>
          <w:lang w:val="id-ID"/>
        </w:rPr>
        <w:t xml:space="preserve">. Vol. 10 (7). 23-37. </w:t>
      </w:r>
      <w:r w:rsidRPr="00BB743B">
        <w:rPr>
          <w:rFonts w:ascii="Times New Roman" w:hAnsi="Times New Roman"/>
          <w:bCs/>
          <w:sz w:val="24"/>
          <w:szCs w:val="24"/>
        </w:rPr>
        <w:t>DOI:</w:t>
      </w:r>
      <w:hyperlink r:id="rId31" w:tgtFrame="_blank" w:history="1">
        <w:r w:rsidRPr="00BB743B">
          <w:rPr>
            <w:rStyle w:val="Hyperlink"/>
            <w:rFonts w:ascii="Times New Roman" w:hAnsi="Times New Roman"/>
            <w:sz w:val="24"/>
            <w:szCs w:val="24"/>
          </w:rPr>
          <w:t>10.5539/ijef.v10n7p23</w:t>
        </w:r>
      </w:hyperlink>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lang w:val="id-ID"/>
        </w:rPr>
        <w:t xml:space="preserve">Chambers, D. R., </w:t>
      </w:r>
      <w:r>
        <w:rPr>
          <w:rFonts w:ascii="Times New Roman" w:hAnsi="Times New Roman"/>
          <w:sz w:val="24"/>
          <w:szCs w:val="24"/>
          <w:lang w:val="id-ID"/>
        </w:rPr>
        <w:t>&amp;</w:t>
      </w:r>
      <w:r w:rsidRPr="00BB743B">
        <w:rPr>
          <w:rFonts w:ascii="Times New Roman" w:hAnsi="Times New Roman"/>
          <w:sz w:val="24"/>
          <w:szCs w:val="24"/>
          <w:lang w:val="id-ID"/>
        </w:rPr>
        <w:t xml:space="preserve"> Lu, Qin. (2011). </w:t>
      </w:r>
      <w:r w:rsidRPr="00BB743B">
        <w:rPr>
          <w:rFonts w:ascii="Times New Roman" w:hAnsi="Times New Roman"/>
          <w:i/>
          <w:sz w:val="24"/>
          <w:szCs w:val="24"/>
          <w:lang w:val="id-ID"/>
        </w:rPr>
        <w:t>Value at Risk: A Review and Extention</w:t>
      </w:r>
      <w:r w:rsidRPr="00BB743B">
        <w:rPr>
          <w:rFonts w:ascii="Times New Roman" w:hAnsi="Times New Roman"/>
          <w:sz w:val="24"/>
          <w:szCs w:val="24"/>
          <w:lang w:val="id-ID"/>
        </w:rPr>
        <w:t xml:space="preserve">. Layette College.Chen, J. M. (2014). Measuring Market Risk under the Basel Accords: VaR, Stressed VaR and expected shortfall. </w:t>
      </w:r>
      <w:r w:rsidRPr="00BB743B">
        <w:rPr>
          <w:rFonts w:ascii="Times New Roman" w:hAnsi="Times New Roman"/>
          <w:i/>
          <w:sz w:val="24"/>
          <w:szCs w:val="24"/>
          <w:lang w:val="id-ID"/>
        </w:rPr>
        <w:t>Aestimatio, The IEB International Journal of Finance</w:t>
      </w:r>
      <w:r w:rsidRPr="00BB743B">
        <w:rPr>
          <w:rFonts w:ascii="Times New Roman" w:hAnsi="Times New Roman"/>
          <w:sz w:val="24"/>
          <w:szCs w:val="24"/>
          <w:lang w:val="id-ID"/>
        </w:rPr>
        <w:t xml:space="preserve">. 184-201. </w:t>
      </w:r>
      <w:hyperlink r:id="rId32" w:tgtFrame="_blank" w:history="1">
        <w:r w:rsidRPr="00BB743B">
          <w:rPr>
            <w:rStyle w:val="Hyperlink"/>
            <w:rFonts w:ascii="Times New Roman" w:hAnsi="Times New Roman"/>
            <w:sz w:val="24"/>
            <w:szCs w:val="24"/>
            <w:shd w:val="clear" w:color="auto" w:fill="FFFFFF"/>
          </w:rPr>
          <w:t>http://dx.doi.org/10.2139/ssrn.2252463</w:t>
        </w:r>
      </w:hyperlink>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Consolacion, A. G. (2016). </w:t>
      </w:r>
      <w:r w:rsidRPr="00BB743B">
        <w:rPr>
          <w:rFonts w:ascii="Times New Roman" w:hAnsi="Times New Roman"/>
          <w:i/>
          <w:sz w:val="24"/>
          <w:szCs w:val="24"/>
          <w:lang w:val="id-ID"/>
        </w:rPr>
        <w:t>Comparative Analysis of Value at Risk, Stressed VaR, and Expected Shortfall using Philippine Data</w:t>
      </w:r>
      <w:r w:rsidRPr="00BB743B">
        <w:rPr>
          <w:rFonts w:ascii="Times New Roman" w:hAnsi="Times New Roman"/>
          <w:sz w:val="24"/>
          <w:szCs w:val="24"/>
          <w:lang w:val="id-ID"/>
        </w:rPr>
        <w:t xml:space="preserve">. Bangko Sentral Review. Retrieved from </w:t>
      </w:r>
      <w:hyperlink r:id="rId33" w:history="1">
        <w:r w:rsidRPr="00BB743B">
          <w:rPr>
            <w:rStyle w:val="Hyperlink"/>
            <w:rFonts w:ascii="Times New Roman" w:hAnsi="Times New Roman"/>
            <w:sz w:val="24"/>
            <w:szCs w:val="24"/>
          </w:rPr>
          <w:t>http://www.bsp.gov.ph</w:t>
        </w:r>
      </w:hyperlink>
      <w:r w:rsidRPr="00BB743B">
        <w:rPr>
          <w:rFonts w:ascii="Times New Roman" w:hAnsi="Times New Roman"/>
          <w:sz w:val="24"/>
          <w:szCs w:val="24"/>
          <w:lang w:val="id-ID"/>
        </w:rPr>
        <w:t>.</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Down, K. (2000). </w:t>
      </w:r>
      <w:r w:rsidRPr="00BB743B">
        <w:rPr>
          <w:rFonts w:ascii="Times New Roman" w:hAnsi="Times New Roman"/>
          <w:iCs/>
          <w:sz w:val="24"/>
          <w:szCs w:val="24"/>
          <w:lang w:val="id-ID"/>
        </w:rPr>
        <w:t>Adjusting for Risk: An Improved Sharpe Ratio</w:t>
      </w:r>
      <w:r w:rsidRPr="00BB743B">
        <w:rPr>
          <w:rFonts w:ascii="Times New Roman" w:hAnsi="Times New Roman"/>
          <w:sz w:val="24"/>
          <w:szCs w:val="24"/>
          <w:lang w:val="id-ID"/>
        </w:rPr>
        <w:t xml:space="preserve">. </w:t>
      </w:r>
      <w:r w:rsidRPr="00BB743B">
        <w:rPr>
          <w:rFonts w:ascii="Times New Roman" w:hAnsi="Times New Roman"/>
          <w:i/>
          <w:sz w:val="24"/>
          <w:szCs w:val="24"/>
          <w:lang w:val="id-ID"/>
        </w:rPr>
        <w:t>International Review of Economics and Finance</w:t>
      </w:r>
      <w:r w:rsidRPr="00BB743B">
        <w:rPr>
          <w:rFonts w:ascii="Times New Roman" w:hAnsi="Times New Roman"/>
          <w:sz w:val="24"/>
          <w:szCs w:val="24"/>
          <w:lang w:val="id-ID"/>
        </w:rPr>
        <w:t xml:space="preserve">. Elsevier vol. 9(3). 209-222. </w:t>
      </w:r>
      <w:hyperlink r:id="rId34" w:tgtFrame="_blank" w:tooltip="Persistent link using digital object identifier" w:history="1">
        <w:r w:rsidRPr="00BB743B">
          <w:rPr>
            <w:rStyle w:val="Hyperlink"/>
            <w:rFonts w:ascii="Times New Roman" w:hAnsi="Times New Roman"/>
            <w:sz w:val="24"/>
            <w:szCs w:val="24"/>
          </w:rPr>
          <w:t>https://doi.org/10.1016/S1059-0560(00)00063-0</w:t>
        </w:r>
      </w:hyperlink>
      <w:r w:rsidRPr="00BB743B">
        <w:rPr>
          <w:rFonts w:ascii="Times New Roman" w:hAnsi="Times New Roman"/>
          <w:sz w:val="24"/>
          <w:szCs w:val="24"/>
          <w:lang w:val="id-ID"/>
        </w:rPr>
        <w:t>.</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El-Ashker, A. A. F. (1987). </w:t>
      </w:r>
      <w:r w:rsidRPr="00BB743B">
        <w:rPr>
          <w:rFonts w:ascii="Times New Roman" w:hAnsi="Times New Roman"/>
          <w:i/>
          <w:sz w:val="24"/>
          <w:szCs w:val="24"/>
          <w:lang w:val="id-ID"/>
        </w:rPr>
        <w:t>The Islamic Business Enterprise</w:t>
      </w:r>
      <w:r w:rsidRPr="00BB743B">
        <w:rPr>
          <w:rFonts w:ascii="Times New Roman" w:hAnsi="Times New Roman"/>
          <w:sz w:val="24"/>
          <w:szCs w:val="24"/>
          <w:lang w:val="id-ID"/>
        </w:rPr>
        <w:t>. Croom Helm, London</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Everitt, B. S., Landau, S., Leese, M., </w:t>
      </w:r>
      <w:r>
        <w:rPr>
          <w:rFonts w:ascii="Times New Roman" w:hAnsi="Times New Roman"/>
          <w:sz w:val="24"/>
          <w:szCs w:val="24"/>
          <w:lang w:val="id-ID"/>
        </w:rPr>
        <w:t>&amp;</w:t>
      </w:r>
      <w:r w:rsidRPr="00BB743B">
        <w:rPr>
          <w:rFonts w:ascii="Times New Roman" w:hAnsi="Times New Roman"/>
          <w:sz w:val="24"/>
          <w:szCs w:val="24"/>
          <w:lang w:val="id-ID"/>
        </w:rPr>
        <w:t xml:space="preserve"> Stahl</w:t>
      </w:r>
      <w:r>
        <w:rPr>
          <w:rFonts w:ascii="Times New Roman" w:hAnsi="Times New Roman"/>
          <w:sz w:val="24"/>
          <w:szCs w:val="24"/>
          <w:lang w:val="id-ID"/>
        </w:rPr>
        <w:t>,</w:t>
      </w:r>
      <w:r w:rsidRPr="00BB743B">
        <w:rPr>
          <w:rFonts w:ascii="Times New Roman" w:hAnsi="Times New Roman"/>
          <w:sz w:val="24"/>
          <w:szCs w:val="24"/>
          <w:lang w:val="id-ID"/>
        </w:rPr>
        <w:t xml:space="preserve"> D. (2011). </w:t>
      </w:r>
      <w:r w:rsidRPr="00BB743B">
        <w:rPr>
          <w:rFonts w:ascii="Times New Roman" w:hAnsi="Times New Roman"/>
          <w:i/>
          <w:sz w:val="24"/>
          <w:szCs w:val="24"/>
          <w:lang w:val="id-ID"/>
        </w:rPr>
        <w:t>Cluster Analysis, 5</w:t>
      </w:r>
      <w:r w:rsidRPr="00BB743B">
        <w:rPr>
          <w:rFonts w:ascii="Times New Roman" w:hAnsi="Times New Roman"/>
          <w:i/>
          <w:sz w:val="24"/>
          <w:szCs w:val="24"/>
          <w:vertAlign w:val="superscript"/>
          <w:lang w:val="id-ID"/>
        </w:rPr>
        <w:t>th</w:t>
      </w:r>
      <w:r w:rsidRPr="00BB743B">
        <w:rPr>
          <w:rFonts w:ascii="Times New Roman" w:hAnsi="Times New Roman"/>
          <w:i/>
          <w:sz w:val="24"/>
          <w:szCs w:val="24"/>
          <w:lang w:val="id-ID"/>
        </w:rPr>
        <w:t xml:space="preserve"> Edition.</w:t>
      </w:r>
      <w:r w:rsidRPr="00BB743B">
        <w:rPr>
          <w:rFonts w:ascii="Times New Roman" w:hAnsi="Times New Roman"/>
          <w:sz w:val="24"/>
          <w:szCs w:val="24"/>
          <w:lang w:val="id-ID"/>
        </w:rPr>
        <w:t xml:space="preserve"> Wiley Series in Probability and Statistics. John Wiley and Sons Ltd. </w:t>
      </w:r>
      <w:r>
        <w:rPr>
          <w:rFonts w:ascii="Times New Roman" w:hAnsi="Times New Roman"/>
          <w:sz w:val="24"/>
          <w:szCs w:val="24"/>
          <w:lang w:val="id-ID"/>
        </w:rPr>
        <w:t xml:space="preserve">The </w:t>
      </w:r>
      <w:r w:rsidRPr="00BB743B">
        <w:rPr>
          <w:rFonts w:ascii="Times New Roman" w:hAnsi="Times New Roman"/>
          <w:sz w:val="24"/>
          <w:szCs w:val="24"/>
          <w:lang w:val="id-ID"/>
        </w:rPr>
        <w:t>United Kingdom.</w:t>
      </w:r>
    </w:p>
    <w:p w:rsidR="005553AC" w:rsidRDefault="005553AC" w:rsidP="005553AC">
      <w:pPr>
        <w:pStyle w:val="EndNoteBibliography"/>
        <w:spacing w:before="120" w:after="120"/>
        <w:ind w:left="720" w:hanging="720"/>
        <w:jc w:val="both"/>
        <w:rPr>
          <w:rFonts w:ascii="Times New Roman" w:hAnsi="Times New Roman"/>
          <w:sz w:val="24"/>
          <w:szCs w:val="24"/>
          <w:shd w:val="clear" w:color="auto" w:fill="FFFFFF"/>
          <w:lang w:val="id-ID"/>
        </w:rPr>
      </w:pPr>
      <w:r w:rsidRPr="00BB743B">
        <w:rPr>
          <w:rFonts w:ascii="Times New Roman" w:hAnsi="Times New Roman"/>
          <w:sz w:val="24"/>
          <w:szCs w:val="24"/>
          <w:lang w:val="id-ID"/>
        </w:rPr>
        <w:t xml:space="preserve">Gregoriou, G. </w:t>
      </w:r>
      <w:r>
        <w:rPr>
          <w:rFonts w:ascii="Times New Roman" w:hAnsi="Times New Roman"/>
          <w:sz w:val="24"/>
          <w:szCs w:val="24"/>
          <w:lang w:val="id-ID"/>
        </w:rPr>
        <w:t>N. &amp;</w:t>
      </w:r>
      <w:r w:rsidRPr="00BB743B">
        <w:rPr>
          <w:rFonts w:ascii="Times New Roman" w:hAnsi="Times New Roman"/>
          <w:sz w:val="24"/>
          <w:szCs w:val="24"/>
          <w:lang w:val="id-ID"/>
        </w:rPr>
        <w:t xml:space="preserve"> Gueyie, J. P. (2003). Risk-Adjusted Performance of Funds of Hedge Funds Using a Modiﬁed Sharpe Ratio. </w:t>
      </w:r>
      <w:r w:rsidRPr="00BB743B">
        <w:rPr>
          <w:rFonts w:ascii="Times New Roman" w:hAnsi="Times New Roman"/>
          <w:i/>
          <w:sz w:val="24"/>
          <w:szCs w:val="24"/>
          <w:lang w:val="id-ID"/>
        </w:rPr>
        <w:t>Journal of Wealth Management</w:t>
      </w:r>
      <w:r w:rsidRPr="00BB743B">
        <w:rPr>
          <w:rFonts w:ascii="Times New Roman" w:hAnsi="Times New Roman"/>
          <w:sz w:val="24"/>
          <w:szCs w:val="24"/>
          <w:lang w:val="id-ID"/>
        </w:rPr>
        <w:t xml:space="preserve"> 6 (3). 77–83. </w:t>
      </w:r>
      <w:r w:rsidRPr="00BB743B">
        <w:rPr>
          <w:rFonts w:ascii="Times New Roman" w:hAnsi="Times New Roman"/>
          <w:sz w:val="24"/>
          <w:szCs w:val="24"/>
          <w:shd w:val="clear" w:color="auto" w:fill="FFFFFF"/>
        </w:rPr>
        <w:t>DOI: https://doi.org/10.3905/jwm.2003.442378</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Hamzah, A., </w:t>
      </w:r>
      <w:r>
        <w:rPr>
          <w:rFonts w:ascii="Times New Roman" w:hAnsi="Times New Roman"/>
          <w:sz w:val="24"/>
          <w:szCs w:val="24"/>
          <w:lang w:val="id-ID"/>
        </w:rPr>
        <w:t>&amp;</w:t>
      </w:r>
      <w:r w:rsidRPr="00BB743B">
        <w:rPr>
          <w:rFonts w:ascii="Times New Roman" w:hAnsi="Times New Roman"/>
          <w:sz w:val="24"/>
          <w:szCs w:val="24"/>
          <w:lang w:val="id-ID"/>
        </w:rPr>
        <w:t xml:space="preserve"> Yohanes, A. (2014). Analisis Perbandingan Kinerja Reksa Dana Syariah dengan Reksadan Konvensional Jenis Saham pada Periode 2008-</w:t>
      </w:r>
      <w:r>
        <w:rPr>
          <w:rFonts w:ascii="Times New Roman" w:hAnsi="Times New Roman"/>
          <w:sz w:val="24"/>
          <w:szCs w:val="24"/>
          <w:lang w:val="id-ID"/>
        </w:rPr>
        <w:t>2</w:t>
      </w:r>
      <w:r w:rsidRPr="00BB743B">
        <w:rPr>
          <w:rFonts w:ascii="Times New Roman" w:hAnsi="Times New Roman"/>
          <w:sz w:val="24"/>
          <w:szCs w:val="24"/>
          <w:lang w:val="id-ID"/>
        </w:rPr>
        <w:t xml:space="preserve">012. </w:t>
      </w:r>
      <w:r w:rsidRPr="00BB743B">
        <w:rPr>
          <w:rFonts w:ascii="Times New Roman" w:hAnsi="Times New Roman"/>
          <w:i/>
          <w:sz w:val="24"/>
          <w:szCs w:val="24"/>
          <w:lang w:val="id-ID"/>
        </w:rPr>
        <w:t>Jurnal MIX</w:t>
      </w:r>
      <w:r w:rsidRPr="00BB743B">
        <w:rPr>
          <w:rFonts w:ascii="Times New Roman" w:hAnsi="Times New Roman"/>
          <w:sz w:val="24"/>
          <w:szCs w:val="24"/>
          <w:lang w:val="id-ID"/>
        </w:rPr>
        <w:t>. Vol IV (3). 396-409.</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rPr>
        <w:t xml:space="preserve">Hanafi, M.M., </w:t>
      </w:r>
      <w:r>
        <w:rPr>
          <w:rFonts w:ascii="Times New Roman" w:hAnsi="Times New Roman"/>
          <w:sz w:val="24"/>
          <w:szCs w:val="24"/>
          <w:lang w:val="id-ID"/>
        </w:rPr>
        <w:t>&amp;</w:t>
      </w:r>
      <w:r w:rsidRPr="00BB743B">
        <w:rPr>
          <w:rFonts w:ascii="Times New Roman" w:hAnsi="Times New Roman"/>
          <w:sz w:val="24"/>
          <w:szCs w:val="24"/>
        </w:rPr>
        <w:t xml:space="preserve"> Hanafi, S.M. </w:t>
      </w:r>
      <w:r w:rsidRPr="00BB743B">
        <w:rPr>
          <w:rFonts w:ascii="Times New Roman" w:hAnsi="Times New Roman"/>
          <w:sz w:val="24"/>
          <w:szCs w:val="24"/>
          <w:lang w:val="id-ID"/>
        </w:rPr>
        <w:t>(</w:t>
      </w:r>
      <w:r w:rsidRPr="00BB743B">
        <w:rPr>
          <w:rFonts w:ascii="Times New Roman" w:hAnsi="Times New Roman"/>
          <w:sz w:val="24"/>
          <w:szCs w:val="24"/>
        </w:rPr>
        <w:t>2012</w:t>
      </w:r>
      <w:r w:rsidRPr="00BB743B">
        <w:rPr>
          <w:rFonts w:ascii="Times New Roman" w:hAnsi="Times New Roman"/>
          <w:sz w:val="24"/>
          <w:szCs w:val="24"/>
          <w:lang w:val="id-ID"/>
        </w:rPr>
        <w:t>)</w:t>
      </w:r>
      <w:r w:rsidRPr="00BB743B">
        <w:rPr>
          <w:rFonts w:ascii="Times New Roman" w:hAnsi="Times New Roman"/>
          <w:sz w:val="24"/>
          <w:szCs w:val="24"/>
        </w:rPr>
        <w:t xml:space="preserve">. Perbandingan Kinerja Investasi Syariah dan Konvensional: Studi pada Jakarta Islamic Indeks (JII) dan Indeks LQ45. </w:t>
      </w:r>
      <w:r w:rsidRPr="00BB743B">
        <w:rPr>
          <w:rFonts w:ascii="Times New Roman" w:hAnsi="Times New Roman"/>
          <w:i/>
          <w:sz w:val="24"/>
          <w:szCs w:val="24"/>
        </w:rPr>
        <w:t xml:space="preserve">Ekbisi: Jurnal Ekonomi dan Bisnis Islam </w:t>
      </w:r>
      <w:r w:rsidRPr="00BB743B">
        <w:rPr>
          <w:rFonts w:ascii="Times New Roman" w:hAnsi="Times New Roman"/>
          <w:sz w:val="24"/>
          <w:szCs w:val="24"/>
        </w:rPr>
        <w:t>Vol. VII</w:t>
      </w:r>
      <w:r w:rsidRPr="00BB743B">
        <w:rPr>
          <w:rFonts w:ascii="Times New Roman" w:hAnsi="Times New Roman"/>
          <w:sz w:val="24"/>
          <w:szCs w:val="24"/>
          <w:lang w:val="id-ID"/>
        </w:rPr>
        <w:t xml:space="preserve"> (</w:t>
      </w:r>
      <w:r w:rsidRPr="00BB743B">
        <w:rPr>
          <w:rFonts w:ascii="Times New Roman" w:hAnsi="Times New Roman"/>
          <w:sz w:val="24"/>
          <w:szCs w:val="24"/>
        </w:rPr>
        <w:t>1</w:t>
      </w:r>
      <w:r w:rsidRPr="00BB743B">
        <w:rPr>
          <w:rFonts w:ascii="Times New Roman" w:hAnsi="Times New Roman"/>
          <w:sz w:val="24"/>
          <w:szCs w:val="24"/>
          <w:lang w:val="id-ID"/>
        </w:rPr>
        <w:t>).</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rPr>
        <w:t xml:space="preserve">Hanif, M. </w:t>
      </w:r>
      <w:r w:rsidRPr="00BB743B">
        <w:rPr>
          <w:rFonts w:ascii="Times New Roman" w:hAnsi="Times New Roman"/>
          <w:sz w:val="24"/>
          <w:szCs w:val="24"/>
          <w:lang w:val="id-ID"/>
        </w:rPr>
        <w:t>(</w:t>
      </w:r>
      <w:r w:rsidRPr="00BB743B">
        <w:rPr>
          <w:rFonts w:ascii="Times New Roman" w:hAnsi="Times New Roman"/>
          <w:sz w:val="24"/>
          <w:szCs w:val="24"/>
        </w:rPr>
        <w:t>2011</w:t>
      </w:r>
      <w:r w:rsidRPr="00BB743B">
        <w:rPr>
          <w:rFonts w:ascii="Times New Roman" w:hAnsi="Times New Roman"/>
          <w:sz w:val="24"/>
          <w:szCs w:val="24"/>
          <w:lang w:val="id-ID"/>
        </w:rPr>
        <w:t>)</w:t>
      </w:r>
      <w:r w:rsidRPr="00BB743B">
        <w:rPr>
          <w:rFonts w:ascii="Times New Roman" w:hAnsi="Times New Roman"/>
          <w:sz w:val="24"/>
          <w:szCs w:val="24"/>
        </w:rPr>
        <w:t xml:space="preserve">. </w:t>
      </w:r>
      <w:r w:rsidRPr="00BB743B">
        <w:rPr>
          <w:rFonts w:ascii="Times New Roman" w:hAnsi="Times New Roman"/>
          <w:iCs/>
          <w:sz w:val="24"/>
          <w:szCs w:val="24"/>
        </w:rPr>
        <w:t>Risk and Return under Shari’a Framework an Attempt to Develop Shari’a Compliant Asset Pricing Model SCAPM</w:t>
      </w:r>
      <w:r w:rsidRPr="00BB743B">
        <w:rPr>
          <w:rFonts w:ascii="Times New Roman" w:hAnsi="Times New Roman"/>
          <w:sz w:val="24"/>
          <w:szCs w:val="24"/>
        </w:rPr>
        <w:t xml:space="preserve">. </w:t>
      </w:r>
      <w:r w:rsidRPr="00BB743B">
        <w:rPr>
          <w:rFonts w:ascii="Times New Roman" w:hAnsi="Times New Roman"/>
          <w:i/>
          <w:sz w:val="24"/>
          <w:szCs w:val="24"/>
        </w:rPr>
        <w:t>Pakistan Jour</w:t>
      </w:r>
      <w:r w:rsidRPr="00BB743B">
        <w:rPr>
          <w:rFonts w:ascii="Times New Roman" w:hAnsi="Times New Roman"/>
          <w:i/>
          <w:sz w:val="24"/>
          <w:szCs w:val="24"/>
          <w:lang w:val="id-ID"/>
        </w:rPr>
        <w:t>n</w:t>
      </w:r>
      <w:r w:rsidRPr="00BB743B">
        <w:rPr>
          <w:rFonts w:ascii="Times New Roman" w:hAnsi="Times New Roman"/>
          <w:i/>
          <w:sz w:val="24"/>
          <w:szCs w:val="24"/>
        </w:rPr>
        <w:t>al of Commerce and Social Sci</w:t>
      </w:r>
      <w:r w:rsidRPr="00BB743B">
        <w:rPr>
          <w:rFonts w:ascii="Times New Roman" w:hAnsi="Times New Roman"/>
          <w:i/>
          <w:sz w:val="24"/>
          <w:szCs w:val="24"/>
          <w:lang w:val="id-ID"/>
        </w:rPr>
        <w:t>e</w:t>
      </w:r>
      <w:r w:rsidRPr="00BB743B">
        <w:rPr>
          <w:rFonts w:ascii="Times New Roman" w:hAnsi="Times New Roman"/>
          <w:i/>
          <w:sz w:val="24"/>
          <w:szCs w:val="24"/>
        </w:rPr>
        <w:t>nces</w:t>
      </w:r>
      <w:r w:rsidRPr="00BB743B">
        <w:rPr>
          <w:rFonts w:ascii="Times New Roman" w:hAnsi="Times New Roman"/>
          <w:sz w:val="24"/>
          <w:szCs w:val="24"/>
        </w:rPr>
        <w:t xml:space="preserve"> 5:2</w:t>
      </w:r>
      <w:r w:rsidRPr="00BB743B">
        <w:rPr>
          <w:rFonts w:ascii="Times New Roman" w:hAnsi="Times New Roman"/>
          <w:sz w:val="24"/>
          <w:szCs w:val="24"/>
          <w:lang w:val="id-ID"/>
        </w:rPr>
        <w:t xml:space="preserve">. </w:t>
      </w:r>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lang w:val="id-ID"/>
        </w:rPr>
        <w:t xml:space="preserve">Hasbullah, E. S., Mohd, I. B., Mamat, M., Sukono., </w:t>
      </w:r>
      <w:r>
        <w:rPr>
          <w:rFonts w:ascii="Times New Roman" w:hAnsi="Times New Roman"/>
          <w:sz w:val="24"/>
          <w:szCs w:val="24"/>
          <w:lang w:val="id-ID"/>
        </w:rPr>
        <w:t>&amp;</w:t>
      </w:r>
      <w:r w:rsidRPr="00BB743B">
        <w:rPr>
          <w:rFonts w:ascii="Times New Roman" w:hAnsi="Times New Roman"/>
          <w:sz w:val="24"/>
          <w:szCs w:val="24"/>
          <w:lang w:val="id-ID"/>
        </w:rPr>
        <w:t xml:space="preserve"> Rusyaman., E. (2013). </w:t>
      </w:r>
      <w:r w:rsidRPr="00BB743B">
        <w:rPr>
          <w:rFonts w:ascii="Times New Roman" w:hAnsi="Times New Roman"/>
          <w:i/>
          <w:sz w:val="24"/>
          <w:szCs w:val="24"/>
          <w:lang w:val="id-ID"/>
        </w:rPr>
        <w:t xml:space="preserve"> </w:t>
      </w:r>
      <w:r w:rsidRPr="00BB743B">
        <w:rPr>
          <w:rFonts w:ascii="Times New Roman" w:hAnsi="Times New Roman"/>
          <w:sz w:val="24"/>
          <w:szCs w:val="24"/>
          <w:lang w:val="id-ID"/>
        </w:rPr>
        <w:t xml:space="preserve">Analisis Perbandingan beberapa Saham Syariah dengan Menggunakan Model Volatilitas Tak Konstan. </w:t>
      </w:r>
      <w:r w:rsidRPr="00BB743B">
        <w:rPr>
          <w:rFonts w:ascii="Times New Roman" w:hAnsi="Times New Roman"/>
          <w:i/>
          <w:sz w:val="24"/>
          <w:szCs w:val="24"/>
          <w:lang w:val="id-ID"/>
        </w:rPr>
        <w:t>Statistika</w:t>
      </w:r>
      <w:r w:rsidRPr="00BB743B">
        <w:rPr>
          <w:rFonts w:ascii="Times New Roman" w:hAnsi="Times New Roman"/>
          <w:sz w:val="24"/>
          <w:szCs w:val="24"/>
          <w:lang w:val="id-ID"/>
        </w:rPr>
        <w:t xml:space="preserve"> Vol 13 (1) Mei 2013. 25-31. </w:t>
      </w:r>
      <w:r w:rsidRPr="00BB743B">
        <w:rPr>
          <w:rFonts w:ascii="Times New Roman" w:hAnsi="Times New Roman"/>
          <w:sz w:val="24"/>
          <w:szCs w:val="24"/>
          <w:shd w:val="clear" w:color="auto" w:fill="FFFFFF"/>
        </w:rPr>
        <w:t>DOI: </w:t>
      </w:r>
      <w:hyperlink r:id="rId35" w:history="1">
        <w:r w:rsidRPr="00BB743B">
          <w:rPr>
            <w:rStyle w:val="Hyperlink"/>
            <w:rFonts w:ascii="Times New Roman" w:hAnsi="Times New Roman"/>
            <w:sz w:val="24"/>
            <w:szCs w:val="24"/>
            <w:shd w:val="clear" w:color="auto" w:fill="FFFFFF"/>
          </w:rPr>
          <w:t>https://doi.org/10.29313/jstat.v13i1.1070</w:t>
        </w:r>
      </w:hyperlink>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Henderson, S, Peirson, G, </w:t>
      </w:r>
      <w:r>
        <w:rPr>
          <w:rFonts w:ascii="Times New Roman" w:hAnsi="Times New Roman"/>
          <w:sz w:val="24"/>
          <w:szCs w:val="24"/>
          <w:lang w:val="id-ID"/>
        </w:rPr>
        <w:t>&amp;</w:t>
      </w:r>
      <w:r w:rsidRPr="00BB743B">
        <w:rPr>
          <w:rFonts w:ascii="Times New Roman" w:hAnsi="Times New Roman"/>
          <w:sz w:val="24"/>
          <w:szCs w:val="24"/>
          <w:lang w:val="id-ID"/>
        </w:rPr>
        <w:t xml:space="preserve"> Brown, R. (1992). </w:t>
      </w:r>
      <w:r w:rsidRPr="00BB743B">
        <w:rPr>
          <w:rFonts w:ascii="Times New Roman" w:hAnsi="Times New Roman"/>
          <w:i/>
          <w:sz w:val="24"/>
          <w:szCs w:val="24"/>
          <w:lang w:val="id-ID"/>
        </w:rPr>
        <w:t>Financial accounting theory - its nature and development</w:t>
      </w:r>
      <w:r w:rsidRPr="00BB743B">
        <w:rPr>
          <w:rFonts w:ascii="Times New Roman" w:hAnsi="Times New Roman"/>
          <w:sz w:val="24"/>
          <w:szCs w:val="24"/>
          <w:lang w:val="id-ID"/>
        </w:rPr>
        <w:t>. 2</w:t>
      </w:r>
      <w:r w:rsidRPr="00BB743B">
        <w:rPr>
          <w:rFonts w:ascii="Times New Roman" w:hAnsi="Times New Roman"/>
          <w:sz w:val="24"/>
          <w:szCs w:val="24"/>
          <w:vertAlign w:val="superscript"/>
          <w:lang w:val="id-ID"/>
        </w:rPr>
        <w:t>nd</w:t>
      </w:r>
      <w:r w:rsidRPr="00BB743B">
        <w:rPr>
          <w:rFonts w:ascii="Times New Roman" w:hAnsi="Times New Roman"/>
          <w:sz w:val="24"/>
          <w:szCs w:val="24"/>
          <w:lang w:val="id-ID"/>
        </w:rPr>
        <w:t xml:space="preserve"> edition. Melbourne: Longman Cheshire.</w:t>
      </w:r>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lang w:val="id-ID"/>
        </w:rPr>
        <w:t xml:space="preserve">Huda, N. (2017). Analisis Perbandingan Kinerja Reksadana Saham Syariah dan Konvensional periode 2012-2015. IQTISHADIA: Jurnal Kajian Ekonomi dan Bisnis Islam. Volume 10 (2). </w:t>
      </w:r>
      <w:r w:rsidRPr="00BB743B">
        <w:rPr>
          <w:rFonts w:ascii="Times New Roman" w:hAnsi="Times New Roman"/>
          <w:sz w:val="24"/>
          <w:szCs w:val="24"/>
          <w:shd w:val="clear" w:color="auto" w:fill="FFFFFF"/>
        </w:rPr>
        <w:t>DOI: </w:t>
      </w:r>
      <w:hyperlink r:id="rId36" w:history="1">
        <w:r w:rsidRPr="00BB743B">
          <w:rPr>
            <w:rStyle w:val="Hyperlink"/>
            <w:rFonts w:ascii="Times New Roman" w:hAnsi="Times New Roman"/>
            <w:sz w:val="24"/>
            <w:szCs w:val="24"/>
            <w:shd w:val="clear" w:color="auto" w:fill="FFFFFF"/>
          </w:rPr>
          <w:t>http://dx.doi.org/10.21043/iqtishadia.v10i2.2242</w:t>
        </w:r>
      </w:hyperlink>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Jogiyanto, H. (2007). </w:t>
      </w:r>
      <w:r w:rsidRPr="00BB743B">
        <w:rPr>
          <w:rFonts w:ascii="Times New Roman" w:hAnsi="Times New Roman"/>
          <w:i/>
          <w:iCs/>
          <w:sz w:val="24"/>
          <w:szCs w:val="24"/>
          <w:lang w:val="id-ID"/>
        </w:rPr>
        <w:t>Teori Portofollio dan Analisis Investasi</w:t>
      </w:r>
      <w:r w:rsidRPr="00BB743B">
        <w:rPr>
          <w:rFonts w:ascii="Times New Roman" w:hAnsi="Times New Roman"/>
          <w:sz w:val="24"/>
          <w:szCs w:val="24"/>
          <w:lang w:val="id-ID"/>
        </w:rPr>
        <w:t>, Edisi kelima. BPEE, Yogyakarta.</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Jorion, P. (2006). </w:t>
      </w:r>
      <w:r w:rsidRPr="00BB743B">
        <w:rPr>
          <w:rFonts w:ascii="Times New Roman" w:hAnsi="Times New Roman"/>
          <w:i/>
          <w:iCs/>
          <w:sz w:val="24"/>
          <w:szCs w:val="24"/>
          <w:lang w:val="id-ID"/>
        </w:rPr>
        <w:t>Value at Risk: The New Benchmark for Managing Financial Risk</w:t>
      </w:r>
      <w:r w:rsidRPr="00BB743B">
        <w:rPr>
          <w:rFonts w:ascii="Times New Roman" w:hAnsi="Times New Roman"/>
          <w:sz w:val="24"/>
          <w:szCs w:val="24"/>
          <w:lang w:val="id-ID"/>
        </w:rPr>
        <w:t>. McGraw-Hill, New York</w:t>
      </w:r>
      <w:r w:rsidRPr="00BB743B">
        <w:rPr>
          <w:rFonts w:ascii="Times New Roman" w:hAnsi="Times New Roman"/>
          <w:sz w:val="24"/>
          <w:szCs w:val="24"/>
        </w:rPr>
        <w:t>.</w:t>
      </w:r>
      <w:r w:rsidRPr="00BB743B">
        <w:rPr>
          <w:rFonts w:ascii="Times New Roman" w:hAnsi="Times New Roman"/>
          <w:sz w:val="24"/>
          <w:szCs w:val="24"/>
          <w:lang w:val="id-ID"/>
        </w:rPr>
        <w:t xml:space="preserve"> </w:t>
      </w:r>
    </w:p>
    <w:p w:rsidR="005553AC" w:rsidRDefault="005553AC" w:rsidP="005553AC">
      <w:pPr>
        <w:pStyle w:val="EndNoteBibliography"/>
        <w:spacing w:before="120" w:after="120"/>
        <w:ind w:left="720" w:hanging="720"/>
        <w:jc w:val="both"/>
        <w:rPr>
          <w:rFonts w:ascii="Times New Roman" w:hAnsi="Times New Roman"/>
          <w:sz w:val="24"/>
          <w:szCs w:val="24"/>
          <w:shd w:val="clear" w:color="auto" w:fill="FFFFFF"/>
          <w:lang w:val="id-ID"/>
        </w:rPr>
      </w:pPr>
      <w:r w:rsidRPr="00BB743B">
        <w:rPr>
          <w:rFonts w:ascii="Times New Roman" w:hAnsi="Times New Roman"/>
          <w:sz w:val="24"/>
          <w:szCs w:val="24"/>
          <w:lang w:val="id-ID"/>
        </w:rPr>
        <w:t xml:space="preserve">Kendall, M.G., </w:t>
      </w:r>
      <w:r>
        <w:rPr>
          <w:rFonts w:ascii="Times New Roman" w:hAnsi="Times New Roman"/>
          <w:sz w:val="24"/>
          <w:szCs w:val="24"/>
          <w:lang w:val="id-ID"/>
        </w:rPr>
        <w:t>&amp;</w:t>
      </w:r>
      <w:r w:rsidRPr="00BB743B">
        <w:rPr>
          <w:rFonts w:ascii="Times New Roman" w:hAnsi="Times New Roman"/>
          <w:sz w:val="24"/>
          <w:szCs w:val="24"/>
          <w:lang w:val="id-ID"/>
        </w:rPr>
        <w:t xml:space="preserve"> Smith, B. B. (1939). </w:t>
      </w:r>
      <w:r w:rsidRPr="00BB743B">
        <w:rPr>
          <w:rFonts w:ascii="Times New Roman" w:hAnsi="Times New Roman"/>
          <w:i/>
          <w:sz w:val="24"/>
          <w:szCs w:val="24"/>
          <w:lang w:val="id-ID"/>
        </w:rPr>
        <w:t>The Problem of m Rankings.</w:t>
      </w:r>
      <w:r w:rsidRPr="00BB743B">
        <w:rPr>
          <w:rFonts w:ascii="Times New Roman" w:hAnsi="Times New Roman"/>
          <w:sz w:val="24"/>
          <w:szCs w:val="24"/>
          <w:lang w:val="id-ID"/>
        </w:rPr>
        <w:t xml:space="preserve"> Ann. Math. Statist., 10. 275-287. </w:t>
      </w:r>
      <w:r w:rsidRPr="00BB743B">
        <w:rPr>
          <w:rFonts w:ascii="Times New Roman" w:hAnsi="Times New Roman"/>
          <w:sz w:val="24"/>
          <w:szCs w:val="24"/>
          <w:shd w:val="clear" w:color="auto" w:fill="FFFFFF"/>
        </w:rPr>
        <w:t>doi:10.1214/aoms/1177732186</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Kurniawan, R. D., </w:t>
      </w:r>
      <w:r>
        <w:rPr>
          <w:rFonts w:ascii="Times New Roman" w:hAnsi="Times New Roman"/>
          <w:sz w:val="24"/>
          <w:szCs w:val="24"/>
          <w:lang w:val="id-ID"/>
        </w:rPr>
        <w:t xml:space="preserve">&amp; </w:t>
      </w:r>
      <w:r w:rsidRPr="00BB743B">
        <w:rPr>
          <w:rFonts w:ascii="Times New Roman" w:hAnsi="Times New Roman"/>
          <w:sz w:val="24"/>
          <w:szCs w:val="24"/>
          <w:lang w:val="id-ID"/>
        </w:rPr>
        <w:t xml:space="preserve">Asandimitra, N. (2014). Analisis Perbandingan Kinerja Saham Syariah dan Kinerja Saham Konvensional. </w:t>
      </w:r>
      <w:r w:rsidRPr="00BB743B">
        <w:rPr>
          <w:rFonts w:ascii="Times New Roman" w:hAnsi="Times New Roman"/>
          <w:i/>
          <w:sz w:val="24"/>
          <w:szCs w:val="24"/>
          <w:lang w:val="id-ID"/>
        </w:rPr>
        <w:t>Jurnal Manajemen</w:t>
      </w:r>
      <w:r w:rsidRPr="00BB743B">
        <w:rPr>
          <w:rFonts w:ascii="Times New Roman" w:hAnsi="Times New Roman"/>
          <w:sz w:val="24"/>
          <w:szCs w:val="24"/>
          <w:lang w:val="id-ID"/>
        </w:rPr>
        <w:t xml:space="preserve"> Volume 2 (4).</w:t>
      </w:r>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lang w:val="id-ID"/>
        </w:rPr>
        <w:t xml:space="preserve">Kusumawati, R. (2016). </w:t>
      </w:r>
      <w:r w:rsidRPr="00BB743B">
        <w:rPr>
          <w:rFonts w:ascii="Times New Roman" w:hAnsi="Times New Roman"/>
          <w:i/>
          <w:sz w:val="24"/>
          <w:szCs w:val="24"/>
          <w:lang w:val="id-ID"/>
        </w:rPr>
        <w:t xml:space="preserve"> </w:t>
      </w:r>
      <w:r w:rsidRPr="00BB743B">
        <w:rPr>
          <w:rFonts w:ascii="Times New Roman" w:hAnsi="Times New Roman"/>
          <w:sz w:val="24"/>
          <w:szCs w:val="24"/>
          <w:lang w:val="id-ID"/>
        </w:rPr>
        <w:t xml:space="preserve">Analisis Reksadana Konvensional dan Reksadana Syariah dengan Menggunakan Metode Sharpe. </w:t>
      </w:r>
      <w:r w:rsidRPr="00BB743B">
        <w:rPr>
          <w:rFonts w:ascii="Times New Roman" w:hAnsi="Times New Roman"/>
          <w:i/>
          <w:sz w:val="24"/>
          <w:szCs w:val="24"/>
          <w:lang w:val="id-ID"/>
        </w:rPr>
        <w:t>Jurnal Info Artha</w:t>
      </w:r>
      <w:r w:rsidRPr="00BB743B">
        <w:rPr>
          <w:rFonts w:ascii="Times New Roman" w:hAnsi="Times New Roman"/>
          <w:sz w:val="24"/>
          <w:szCs w:val="24"/>
          <w:lang w:val="id-ID"/>
        </w:rPr>
        <w:t xml:space="preserve"> Vol. 4 (Edisi Juli). 151-170. </w:t>
      </w:r>
      <w:r w:rsidRPr="00BB743B">
        <w:rPr>
          <w:rFonts w:ascii="Times New Roman" w:hAnsi="Times New Roman"/>
          <w:sz w:val="24"/>
          <w:szCs w:val="24"/>
          <w:shd w:val="clear" w:color="auto" w:fill="FFFFFF"/>
        </w:rPr>
        <w:t>DOI: </w:t>
      </w:r>
      <w:hyperlink r:id="rId37" w:history="1">
        <w:r w:rsidRPr="00BB743B">
          <w:rPr>
            <w:rStyle w:val="Hyperlink"/>
            <w:rFonts w:ascii="Times New Roman" w:hAnsi="Times New Roman"/>
            <w:sz w:val="24"/>
            <w:szCs w:val="24"/>
            <w:shd w:val="clear" w:color="auto" w:fill="FFFFFF"/>
          </w:rPr>
          <w:t>http://dx.doi.org/10.31092/jia.v4i4.57</w:t>
        </w:r>
      </w:hyperlink>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Lestari, W. R. (2015). </w:t>
      </w:r>
      <w:r w:rsidRPr="00BB743B">
        <w:rPr>
          <w:rFonts w:ascii="Times New Roman" w:hAnsi="Times New Roman"/>
          <w:i/>
          <w:sz w:val="24"/>
          <w:szCs w:val="24"/>
          <w:lang w:val="id-ID"/>
        </w:rPr>
        <w:t xml:space="preserve"> </w:t>
      </w:r>
      <w:r w:rsidRPr="00BB743B">
        <w:rPr>
          <w:rFonts w:ascii="Times New Roman" w:hAnsi="Times New Roman"/>
          <w:sz w:val="24"/>
          <w:szCs w:val="24"/>
          <w:lang w:val="id-ID"/>
        </w:rPr>
        <w:t xml:space="preserve">Kinerja Reksadana Saham Syariah dan Reksadana Saham Konventional. </w:t>
      </w:r>
      <w:r w:rsidRPr="00BB743B">
        <w:rPr>
          <w:rFonts w:ascii="Times New Roman" w:hAnsi="Times New Roman"/>
          <w:i/>
          <w:sz w:val="24"/>
          <w:szCs w:val="24"/>
          <w:lang w:val="id-ID"/>
        </w:rPr>
        <w:t>Jurnal Magister Managemen</w:t>
      </w:r>
      <w:r w:rsidRPr="00BB743B">
        <w:rPr>
          <w:rFonts w:ascii="Times New Roman" w:hAnsi="Times New Roman"/>
          <w:sz w:val="24"/>
          <w:szCs w:val="24"/>
          <w:lang w:val="id-ID"/>
        </w:rPr>
        <w:t xml:space="preserve"> Vol. 01 (1).</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Mansor, F., </w:t>
      </w:r>
      <w:r>
        <w:rPr>
          <w:rFonts w:ascii="Times New Roman" w:hAnsi="Times New Roman"/>
          <w:sz w:val="24"/>
          <w:szCs w:val="24"/>
          <w:lang w:val="id-ID"/>
        </w:rPr>
        <w:t>&amp;</w:t>
      </w:r>
      <w:r w:rsidRPr="00BB743B">
        <w:rPr>
          <w:rFonts w:ascii="Times New Roman" w:hAnsi="Times New Roman"/>
          <w:sz w:val="24"/>
          <w:szCs w:val="24"/>
          <w:lang w:val="id-ID"/>
        </w:rPr>
        <w:t xml:space="preserve"> Bhatti, M.I. (2011). </w:t>
      </w:r>
      <w:r w:rsidRPr="00BB743B">
        <w:rPr>
          <w:rFonts w:ascii="Times New Roman" w:hAnsi="Times New Roman"/>
          <w:i/>
          <w:sz w:val="24"/>
          <w:szCs w:val="24"/>
          <w:lang w:val="id-ID"/>
        </w:rPr>
        <w:t xml:space="preserve"> </w:t>
      </w:r>
      <w:r w:rsidRPr="00BB743B">
        <w:rPr>
          <w:rFonts w:ascii="Times New Roman" w:hAnsi="Times New Roman"/>
          <w:sz w:val="24"/>
          <w:szCs w:val="24"/>
          <w:lang w:val="id-ID"/>
        </w:rPr>
        <w:t xml:space="preserve">The Islamic Mutual Fund Performance: New Evidence on Market Timing and Stock Selectivity. </w:t>
      </w:r>
      <w:r w:rsidRPr="00BB743B">
        <w:rPr>
          <w:rFonts w:ascii="Times New Roman" w:hAnsi="Times New Roman"/>
          <w:i/>
          <w:sz w:val="24"/>
          <w:szCs w:val="24"/>
          <w:lang w:val="id-ID"/>
        </w:rPr>
        <w:t>International Conference on Economics and Finance Research</w:t>
      </w:r>
      <w:r w:rsidRPr="00BB743B">
        <w:rPr>
          <w:rFonts w:ascii="Times New Roman" w:hAnsi="Times New Roman"/>
          <w:sz w:val="24"/>
          <w:szCs w:val="24"/>
          <w:lang w:val="id-ID"/>
        </w:rPr>
        <w:t xml:space="preserve"> (ICEFR 2011).</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Merdad, H., Hassan, M. K., </w:t>
      </w:r>
      <w:r>
        <w:rPr>
          <w:rFonts w:ascii="Times New Roman" w:hAnsi="Times New Roman"/>
          <w:sz w:val="24"/>
          <w:szCs w:val="24"/>
          <w:lang w:val="id-ID"/>
        </w:rPr>
        <w:t>&amp;</w:t>
      </w:r>
      <w:r w:rsidRPr="00BB743B">
        <w:rPr>
          <w:rFonts w:ascii="Times New Roman" w:hAnsi="Times New Roman"/>
          <w:sz w:val="24"/>
          <w:szCs w:val="24"/>
          <w:lang w:val="id-ID"/>
        </w:rPr>
        <w:t xml:space="preserve"> Alhenawi, Y. (2010). </w:t>
      </w:r>
      <w:r w:rsidRPr="00BB743B">
        <w:rPr>
          <w:rFonts w:ascii="Times New Roman" w:hAnsi="Times New Roman"/>
          <w:i/>
          <w:sz w:val="24"/>
          <w:szCs w:val="24"/>
          <w:lang w:val="id-ID"/>
        </w:rPr>
        <w:t xml:space="preserve"> </w:t>
      </w:r>
      <w:r w:rsidRPr="00BB743B">
        <w:rPr>
          <w:rFonts w:ascii="Times New Roman" w:hAnsi="Times New Roman"/>
          <w:sz w:val="24"/>
          <w:szCs w:val="24"/>
          <w:lang w:val="id-ID"/>
        </w:rPr>
        <w:t xml:space="preserve">Islamic Versus Conventional Mutual Funds Performance in Saudi Arabia: A Case Study. </w:t>
      </w:r>
      <w:r w:rsidRPr="00BB743B">
        <w:rPr>
          <w:rFonts w:ascii="Times New Roman" w:hAnsi="Times New Roman"/>
          <w:i/>
          <w:sz w:val="24"/>
          <w:szCs w:val="24"/>
          <w:lang w:val="id-ID"/>
        </w:rPr>
        <w:t>JKAU: Islamic Econ.</w:t>
      </w:r>
      <w:r w:rsidRPr="00BB743B">
        <w:rPr>
          <w:rFonts w:ascii="Times New Roman" w:hAnsi="Times New Roman"/>
          <w:sz w:val="24"/>
          <w:szCs w:val="24"/>
          <w:lang w:val="id-ID"/>
        </w:rPr>
        <w:t xml:space="preserve"> Vol 23. (2). 157-193.</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Otoritas Jasa Keuangan Republik Indonesia. 2018. </w:t>
      </w:r>
      <w:r w:rsidRPr="00BB743B">
        <w:rPr>
          <w:rFonts w:ascii="Times New Roman" w:hAnsi="Times New Roman"/>
          <w:i/>
          <w:iCs/>
          <w:sz w:val="24"/>
          <w:szCs w:val="24"/>
          <w:lang w:val="id-ID"/>
        </w:rPr>
        <w:t>Statistik Pasar Modal Syariah Indonesia: Desember 2018</w:t>
      </w:r>
      <w:r w:rsidRPr="00BB743B">
        <w:rPr>
          <w:rFonts w:ascii="Times New Roman" w:hAnsi="Times New Roman"/>
          <w:sz w:val="24"/>
          <w:szCs w:val="24"/>
          <w:lang w:val="id-ID"/>
        </w:rPr>
        <w:t>. Retrieved from http://www.ojk.go.id/</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rPr>
        <w:t xml:space="preserve">Qudratullah, M.F. </w:t>
      </w:r>
      <w:r w:rsidRPr="00BB743B">
        <w:rPr>
          <w:rFonts w:ascii="Times New Roman" w:hAnsi="Times New Roman"/>
          <w:sz w:val="24"/>
          <w:szCs w:val="24"/>
          <w:lang w:val="id-ID"/>
        </w:rPr>
        <w:t>(</w:t>
      </w:r>
      <w:r w:rsidRPr="00BB743B">
        <w:rPr>
          <w:rFonts w:ascii="Times New Roman" w:hAnsi="Times New Roman"/>
          <w:sz w:val="24"/>
          <w:szCs w:val="24"/>
        </w:rPr>
        <w:t>2017</w:t>
      </w:r>
      <w:r w:rsidRPr="00BB743B">
        <w:rPr>
          <w:rFonts w:ascii="Times New Roman" w:hAnsi="Times New Roman"/>
          <w:sz w:val="24"/>
          <w:szCs w:val="24"/>
          <w:lang w:val="id-ID"/>
        </w:rPr>
        <w:t>)</w:t>
      </w:r>
      <w:r w:rsidRPr="00BB743B">
        <w:rPr>
          <w:rFonts w:ascii="Times New Roman" w:hAnsi="Times New Roman"/>
          <w:sz w:val="24"/>
          <w:szCs w:val="24"/>
        </w:rPr>
        <w:t xml:space="preserve">. </w:t>
      </w:r>
      <w:r w:rsidRPr="00BB743B">
        <w:rPr>
          <w:rFonts w:ascii="Times New Roman" w:hAnsi="Times New Roman"/>
          <w:i/>
          <w:sz w:val="24"/>
          <w:szCs w:val="24"/>
        </w:rPr>
        <w:t>Statistik Nonparametik: Teori Contoh Kasus dan Aplikasi dengan SPSS</w:t>
      </w:r>
      <w:r w:rsidRPr="00BB743B">
        <w:rPr>
          <w:rFonts w:ascii="Times New Roman" w:hAnsi="Times New Roman"/>
          <w:sz w:val="24"/>
          <w:szCs w:val="24"/>
        </w:rPr>
        <w:t>. Penerbit Andi</w:t>
      </w:r>
      <w:r w:rsidRPr="00BB743B">
        <w:rPr>
          <w:rFonts w:ascii="Times New Roman" w:hAnsi="Times New Roman"/>
          <w:sz w:val="24"/>
          <w:szCs w:val="24"/>
          <w:lang w:val="id-ID"/>
        </w:rPr>
        <w:t>, Yogyakarta.</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Rees, B. (1995). </w:t>
      </w:r>
      <w:r w:rsidRPr="00BB743B">
        <w:rPr>
          <w:rFonts w:ascii="Times New Roman" w:hAnsi="Times New Roman"/>
          <w:i/>
          <w:sz w:val="24"/>
          <w:szCs w:val="24"/>
          <w:lang w:val="id-ID"/>
        </w:rPr>
        <w:t>Financial Analysis 2</w:t>
      </w:r>
      <w:r w:rsidRPr="00BB743B">
        <w:rPr>
          <w:rFonts w:ascii="Times New Roman" w:hAnsi="Times New Roman"/>
          <w:i/>
          <w:sz w:val="24"/>
          <w:szCs w:val="24"/>
          <w:vertAlign w:val="superscript"/>
          <w:lang w:val="id-ID"/>
        </w:rPr>
        <w:t>nd</w:t>
      </w:r>
      <w:r w:rsidRPr="00BB743B">
        <w:rPr>
          <w:rFonts w:ascii="Times New Roman" w:hAnsi="Times New Roman"/>
          <w:i/>
          <w:sz w:val="24"/>
          <w:szCs w:val="24"/>
          <w:lang w:val="id-ID"/>
        </w:rPr>
        <w:t xml:space="preserve"> edition</w:t>
      </w:r>
      <w:r w:rsidRPr="00BB743B">
        <w:rPr>
          <w:rFonts w:ascii="Times New Roman" w:hAnsi="Times New Roman"/>
          <w:sz w:val="24"/>
          <w:szCs w:val="24"/>
          <w:lang w:val="id-ID"/>
        </w:rPr>
        <w:t>. Hamel Hempsted, Hertfordshire: Prentice-Hall.</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Rumintang, A. G., </w:t>
      </w:r>
      <w:r>
        <w:rPr>
          <w:rFonts w:ascii="Times New Roman" w:hAnsi="Times New Roman"/>
          <w:sz w:val="24"/>
          <w:szCs w:val="24"/>
          <w:lang w:val="id-ID"/>
        </w:rPr>
        <w:t>&amp;</w:t>
      </w:r>
      <w:r w:rsidRPr="00BB743B">
        <w:rPr>
          <w:rFonts w:ascii="Times New Roman" w:hAnsi="Times New Roman"/>
          <w:sz w:val="24"/>
          <w:szCs w:val="24"/>
          <w:lang w:val="id-ID"/>
        </w:rPr>
        <w:t xml:space="preserve"> Azhari, M. (2015). Comparative Analysis of Performance of Conventional Equity Fund and Syariah Equity Fund using Sharpe, Treynor, and Jansen Method in 2014. </w:t>
      </w:r>
      <w:r w:rsidRPr="00BB743B">
        <w:rPr>
          <w:rFonts w:ascii="Times New Roman" w:hAnsi="Times New Roman"/>
          <w:i/>
          <w:sz w:val="24"/>
          <w:szCs w:val="24"/>
          <w:lang w:val="id-ID"/>
        </w:rPr>
        <w:t>e-Proceeding of Management</w:t>
      </w:r>
      <w:r w:rsidRPr="00BB743B">
        <w:rPr>
          <w:rFonts w:ascii="Times New Roman" w:hAnsi="Times New Roman"/>
          <w:sz w:val="24"/>
          <w:szCs w:val="24"/>
          <w:lang w:val="id-ID"/>
        </w:rPr>
        <w:t xml:space="preserve"> Vol.2 (2).</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Setiawan, C., </w:t>
      </w:r>
      <w:r>
        <w:rPr>
          <w:rFonts w:ascii="Times New Roman" w:hAnsi="Times New Roman"/>
          <w:sz w:val="24"/>
          <w:szCs w:val="24"/>
          <w:lang w:val="id-ID"/>
        </w:rPr>
        <w:t>&amp;</w:t>
      </w:r>
      <w:r w:rsidRPr="00BB743B">
        <w:rPr>
          <w:rFonts w:ascii="Times New Roman" w:hAnsi="Times New Roman"/>
          <w:sz w:val="24"/>
          <w:szCs w:val="24"/>
          <w:lang w:val="id-ID"/>
        </w:rPr>
        <w:t xml:space="preserve"> Oktariza, H. (2013). </w:t>
      </w:r>
      <w:r w:rsidRPr="00BB743B">
        <w:rPr>
          <w:rFonts w:ascii="Times New Roman" w:hAnsi="Times New Roman"/>
          <w:i/>
          <w:sz w:val="24"/>
          <w:szCs w:val="24"/>
          <w:lang w:val="id-ID"/>
        </w:rPr>
        <w:t xml:space="preserve"> </w:t>
      </w:r>
      <w:r w:rsidRPr="00BB743B">
        <w:rPr>
          <w:rFonts w:ascii="Times New Roman" w:hAnsi="Times New Roman"/>
          <w:sz w:val="24"/>
          <w:szCs w:val="24"/>
          <w:lang w:val="id-ID"/>
        </w:rPr>
        <w:t xml:space="preserve">Syariah and Conventional Stocks Performance of Public Companies Listed on Indonesia Stock Exchange. </w:t>
      </w:r>
      <w:r w:rsidRPr="00BB743B">
        <w:rPr>
          <w:rFonts w:ascii="Times New Roman" w:hAnsi="Times New Roman"/>
          <w:i/>
          <w:sz w:val="24"/>
          <w:szCs w:val="24"/>
          <w:lang w:val="id-ID"/>
        </w:rPr>
        <w:t>Journal of Finance and Economics</w:t>
      </w:r>
      <w:r w:rsidRPr="00BB743B">
        <w:rPr>
          <w:rFonts w:ascii="Times New Roman" w:hAnsi="Times New Roman"/>
          <w:sz w:val="24"/>
          <w:szCs w:val="24"/>
          <w:lang w:val="id-ID"/>
        </w:rPr>
        <w:t xml:space="preserve"> Vol. 3 (1). 51-64.</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Sharpe, W.F. (1985). </w:t>
      </w:r>
      <w:r w:rsidRPr="00BB743B">
        <w:rPr>
          <w:rFonts w:ascii="Times New Roman" w:hAnsi="Times New Roman"/>
          <w:i/>
          <w:iCs/>
          <w:sz w:val="24"/>
          <w:szCs w:val="24"/>
          <w:lang w:val="id-ID"/>
        </w:rPr>
        <w:t xml:space="preserve">Investments. </w:t>
      </w:r>
      <w:r w:rsidRPr="00BB743B">
        <w:rPr>
          <w:rFonts w:ascii="Times New Roman" w:hAnsi="Times New Roman"/>
          <w:iCs/>
          <w:sz w:val="24"/>
          <w:szCs w:val="24"/>
          <w:lang w:val="id-ID"/>
        </w:rPr>
        <w:t>3</w:t>
      </w:r>
      <w:r w:rsidRPr="00BB743B">
        <w:rPr>
          <w:rFonts w:ascii="Times New Roman" w:hAnsi="Times New Roman"/>
          <w:iCs/>
          <w:sz w:val="24"/>
          <w:szCs w:val="24"/>
          <w:vertAlign w:val="superscript"/>
          <w:lang w:val="id-ID"/>
        </w:rPr>
        <w:t>rd</w:t>
      </w:r>
      <w:r w:rsidRPr="00BB743B">
        <w:rPr>
          <w:rFonts w:ascii="Times New Roman" w:hAnsi="Times New Roman"/>
          <w:sz w:val="24"/>
          <w:szCs w:val="24"/>
          <w:lang w:val="id-ID"/>
        </w:rPr>
        <w:t xml:space="preserve"> edition. Englewood Cliffs, New Jersey: Prentice-Hall.</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Sharpe, W.F. (1966). </w:t>
      </w:r>
      <w:r w:rsidRPr="00BB743B">
        <w:rPr>
          <w:rFonts w:ascii="Times New Roman" w:hAnsi="Times New Roman"/>
          <w:iCs/>
          <w:sz w:val="24"/>
          <w:szCs w:val="24"/>
          <w:lang w:val="id-ID"/>
        </w:rPr>
        <w:t>Mutual Fund Performance</w:t>
      </w:r>
      <w:r w:rsidRPr="00BB743B">
        <w:rPr>
          <w:rFonts w:ascii="Times New Roman" w:hAnsi="Times New Roman"/>
          <w:sz w:val="24"/>
          <w:szCs w:val="24"/>
          <w:lang w:val="id-ID"/>
        </w:rPr>
        <w:t xml:space="preserve">. </w:t>
      </w:r>
      <w:r w:rsidRPr="00BB743B">
        <w:rPr>
          <w:rFonts w:ascii="Times New Roman" w:hAnsi="Times New Roman"/>
          <w:i/>
          <w:sz w:val="24"/>
          <w:szCs w:val="24"/>
          <w:lang w:val="id-ID"/>
        </w:rPr>
        <w:t>The Jurnal of Business</w:t>
      </w:r>
      <w:r w:rsidRPr="00BB743B">
        <w:rPr>
          <w:rFonts w:ascii="Times New Roman" w:hAnsi="Times New Roman"/>
          <w:sz w:val="24"/>
          <w:szCs w:val="24"/>
          <w:lang w:val="id-ID"/>
        </w:rPr>
        <w:t xml:space="preserve"> Vol. 39 (1) Part:2. DOI: </w:t>
      </w:r>
      <w:r w:rsidRPr="00BB743B">
        <w:rPr>
          <w:rFonts w:ascii="Times New Roman" w:hAnsi="Times New Roman"/>
          <w:sz w:val="24"/>
          <w:szCs w:val="24"/>
        </w:rPr>
        <w:t>http://dx.doi.org/10.1086/294846</w:t>
      </w:r>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rPr>
        <w:t xml:space="preserve">Sheikh, S.A. </w:t>
      </w:r>
      <w:r w:rsidRPr="00BB743B">
        <w:rPr>
          <w:rFonts w:ascii="Times New Roman" w:hAnsi="Times New Roman"/>
          <w:sz w:val="24"/>
          <w:szCs w:val="24"/>
          <w:lang w:val="id-ID"/>
        </w:rPr>
        <w:t>(</w:t>
      </w:r>
      <w:r w:rsidRPr="00BB743B">
        <w:rPr>
          <w:rFonts w:ascii="Times New Roman" w:hAnsi="Times New Roman"/>
          <w:sz w:val="24"/>
          <w:szCs w:val="24"/>
        </w:rPr>
        <w:t>20</w:t>
      </w:r>
      <w:r w:rsidRPr="00BB743B">
        <w:rPr>
          <w:rFonts w:ascii="Times New Roman" w:hAnsi="Times New Roman"/>
          <w:sz w:val="24"/>
          <w:szCs w:val="24"/>
          <w:lang w:val="id-ID"/>
        </w:rPr>
        <w:t>09)</w:t>
      </w:r>
      <w:r w:rsidRPr="00BB743B">
        <w:rPr>
          <w:rFonts w:ascii="Times New Roman" w:hAnsi="Times New Roman"/>
          <w:sz w:val="24"/>
          <w:szCs w:val="24"/>
        </w:rPr>
        <w:t xml:space="preserve">. </w:t>
      </w:r>
      <w:r w:rsidRPr="00BB743B">
        <w:rPr>
          <w:rFonts w:ascii="Times New Roman" w:hAnsi="Times New Roman"/>
          <w:iCs/>
          <w:sz w:val="24"/>
          <w:szCs w:val="24"/>
        </w:rPr>
        <w:t>Corporate Finance in an Interest</w:t>
      </w:r>
      <w:r w:rsidRPr="00BB743B">
        <w:rPr>
          <w:rFonts w:ascii="Times New Roman" w:hAnsi="Times New Roman"/>
          <w:iCs/>
          <w:sz w:val="24"/>
          <w:szCs w:val="24"/>
          <w:lang w:val="id-ID"/>
        </w:rPr>
        <w:t>-</w:t>
      </w:r>
      <w:r w:rsidRPr="00BB743B">
        <w:rPr>
          <w:rFonts w:ascii="Times New Roman" w:hAnsi="Times New Roman"/>
          <w:iCs/>
          <w:sz w:val="24"/>
          <w:szCs w:val="24"/>
        </w:rPr>
        <w:t>Free Economy: An Alternate Approach to Practiced Islamic Corporate Finance</w:t>
      </w:r>
      <w:r w:rsidRPr="00BB743B">
        <w:rPr>
          <w:rFonts w:ascii="Times New Roman" w:hAnsi="Times New Roman"/>
          <w:sz w:val="24"/>
          <w:szCs w:val="24"/>
          <w:lang w:val="id-ID"/>
        </w:rPr>
        <w:t xml:space="preserve">. </w:t>
      </w:r>
      <w:r w:rsidRPr="00BB743B">
        <w:rPr>
          <w:rFonts w:ascii="Times New Roman" w:hAnsi="Times New Roman"/>
          <w:i/>
          <w:iCs/>
          <w:sz w:val="24"/>
          <w:szCs w:val="24"/>
          <w:shd w:val="clear" w:color="auto" w:fill="FFFFFF"/>
        </w:rPr>
        <w:t>Journal of Islamic Banking &amp; Finance, International Association of Islamic Banks</w:t>
      </w:r>
      <w:r w:rsidRPr="00BB743B">
        <w:rPr>
          <w:rFonts w:ascii="Times New Roman" w:hAnsi="Times New Roman"/>
          <w:iCs/>
          <w:sz w:val="24"/>
          <w:szCs w:val="24"/>
          <w:shd w:val="clear" w:color="auto" w:fill="FFFFFF"/>
          <w:lang w:val="id-ID"/>
        </w:rPr>
        <w:t xml:space="preserve">. </w:t>
      </w:r>
      <w:r w:rsidRPr="00BB743B">
        <w:rPr>
          <w:rFonts w:ascii="Times New Roman" w:hAnsi="Times New Roman"/>
          <w:sz w:val="24"/>
          <w:szCs w:val="24"/>
          <w:shd w:val="clear" w:color="auto" w:fill="FFFFFF"/>
        </w:rPr>
        <w:t>Available at SSRN: </w:t>
      </w:r>
      <w:hyperlink r:id="rId38" w:tgtFrame="_blank" w:history="1">
        <w:r w:rsidRPr="00BB743B">
          <w:rPr>
            <w:rStyle w:val="Hyperlink"/>
            <w:rFonts w:ascii="Times New Roman" w:hAnsi="Times New Roman"/>
            <w:sz w:val="24"/>
            <w:szCs w:val="24"/>
            <w:shd w:val="clear" w:color="auto" w:fill="FFFFFF"/>
          </w:rPr>
          <w:t>https://ssrn.com/abstract=1527310</w:t>
        </w:r>
      </w:hyperlink>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rPr>
        <w:t>Sheikh, S.A.</w:t>
      </w:r>
      <w:r w:rsidRPr="00BB743B">
        <w:rPr>
          <w:rFonts w:ascii="Times New Roman" w:hAnsi="Times New Roman"/>
          <w:sz w:val="24"/>
          <w:szCs w:val="24"/>
          <w:lang w:val="id-ID"/>
        </w:rPr>
        <w:t xml:space="preserve">, Ismail, M.A., Ismail, A.G., Shamimi, S., </w:t>
      </w:r>
      <w:r>
        <w:rPr>
          <w:rFonts w:ascii="Times New Roman" w:hAnsi="Times New Roman"/>
          <w:sz w:val="24"/>
          <w:szCs w:val="24"/>
          <w:lang w:val="id-ID"/>
        </w:rPr>
        <w:t>&amp;</w:t>
      </w:r>
      <w:r w:rsidRPr="00BB743B">
        <w:rPr>
          <w:rFonts w:ascii="Times New Roman" w:hAnsi="Times New Roman"/>
          <w:sz w:val="24"/>
          <w:szCs w:val="24"/>
          <w:lang w:val="id-ID"/>
        </w:rPr>
        <w:t xml:space="preserve"> Shafiai, M. H. M.</w:t>
      </w:r>
      <w:r w:rsidRPr="00BB743B">
        <w:rPr>
          <w:rFonts w:ascii="Times New Roman" w:hAnsi="Times New Roman"/>
          <w:sz w:val="24"/>
          <w:szCs w:val="24"/>
        </w:rPr>
        <w:t xml:space="preserve"> </w:t>
      </w:r>
      <w:r w:rsidRPr="00BB743B">
        <w:rPr>
          <w:rFonts w:ascii="Times New Roman" w:hAnsi="Times New Roman"/>
          <w:sz w:val="24"/>
          <w:szCs w:val="24"/>
          <w:lang w:val="id-ID"/>
        </w:rPr>
        <w:t>(</w:t>
      </w:r>
      <w:r w:rsidRPr="00BB743B">
        <w:rPr>
          <w:rFonts w:ascii="Times New Roman" w:hAnsi="Times New Roman"/>
          <w:sz w:val="24"/>
          <w:szCs w:val="24"/>
        </w:rPr>
        <w:t>20</w:t>
      </w:r>
      <w:r w:rsidRPr="00BB743B">
        <w:rPr>
          <w:rFonts w:ascii="Times New Roman" w:hAnsi="Times New Roman"/>
          <w:sz w:val="24"/>
          <w:szCs w:val="24"/>
          <w:lang w:val="id-ID"/>
        </w:rPr>
        <w:t>19)</w:t>
      </w:r>
      <w:r w:rsidRPr="00BB743B">
        <w:rPr>
          <w:rFonts w:ascii="Times New Roman" w:hAnsi="Times New Roman"/>
          <w:sz w:val="24"/>
          <w:szCs w:val="24"/>
        </w:rPr>
        <w:t xml:space="preserve">. </w:t>
      </w:r>
      <w:r w:rsidRPr="00BB743B">
        <w:rPr>
          <w:rFonts w:ascii="Times New Roman" w:hAnsi="Times New Roman"/>
          <w:sz w:val="24"/>
          <w:szCs w:val="24"/>
          <w:lang w:val="id-ID"/>
        </w:rPr>
        <w:t>Cross Section of Return Stock Shari'ah-</w:t>
      </w:r>
      <w:r w:rsidR="002D5CC1">
        <w:rPr>
          <w:rFonts w:ascii="Times New Roman" w:hAnsi="Times New Roman"/>
          <w:sz w:val="24"/>
          <w:szCs w:val="24"/>
          <w:lang w:val="id-ID"/>
        </w:rPr>
        <w:t>c</w:t>
      </w:r>
      <w:r w:rsidRPr="00BB743B">
        <w:rPr>
          <w:rFonts w:ascii="Times New Roman" w:hAnsi="Times New Roman"/>
          <w:sz w:val="24"/>
          <w:szCs w:val="24"/>
          <w:lang w:val="id-ID"/>
        </w:rPr>
        <w:t xml:space="preserve">ompliant Stocks: Evidence from Pakistan. </w:t>
      </w:r>
      <w:r w:rsidRPr="00BB743B">
        <w:rPr>
          <w:rFonts w:ascii="Times New Roman" w:hAnsi="Times New Roman"/>
          <w:i/>
          <w:sz w:val="24"/>
          <w:szCs w:val="24"/>
          <w:lang w:val="id-ID"/>
        </w:rPr>
        <w:t xml:space="preserve">International Journal of Islamic and Middle Eastern Finance and Management </w:t>
      </w:r>
      <w:r w:rsidRPr="00BB743B">
        <w:rPr>
          <w:rFonts w:ascii="Times New Roman" w:hAnsi="Times New Roman"/>
          <w:sz w:val="24"/>
          <w:szCs w:val="24"/>
          <w:lang w:val="id-ID"/>
        </w:rPr>
        <w:t xml:space="preserve">Vol. 12 (2). </w:t>
      </w:r>
      <w:hyperlink r:id="rId39" w:tooltip="DOI: https://doi.org/10.1108/IMEFM-04-2017-0100" w:history="1">
        <w:r w:rsidRPr="00BB743B">
          <w:rPr>
            <w:rStyle w:val="Hyperlink"/>
            <w:rFonts w:ascii="Times New Roman" w:hAnsi="Times New Roman"/>
            <w:sz w:val="24"/>
            <w:szCs w:val="24"/>
            <w:shd w:val="clear" w:color="auto" w:fill="FFFFFF"/>
          </w:rPr>
          <w:t>https://doi.org/10.1108/IMEFM-04-2017-0100</w:t>
        </w:r>
      </w:hyperlink>
    </w:p>
    <w:p w:rsidR="005553AC" w:rsidRDefault="005553AC" w:rsidP="005553AC">
      <w:pPr>
        <w:pStyle w:val="EndNoteBibliography"/>
        <w:spacing w:before="120" w:after="120"/>
        <w:ind w:left="720" w:hanging="720"/>
        <w:jc w:val="both"/>
        <w:rPr>
          <w:rFonts w:ascii="Times New Roman" w:hAnsi="Times New Roman"/>
          <w:sz w:val="24"/>
          <w:szCs w:val="24"/>
          <w:shd w:val="clear" w:color="auto" w:fill="FFFFFF"/>
          <w:lang w:val="id-ID"/>
        </w:rPr>
      </w:pPr>
      <w:r w:rsidRPr="00BB743B">
        <w:rPr>
          <w:rFonts w:ascii="Times New Roman" w:hAnsi="Times New Roman"/>
          <w:sz w:val="24"/>
          <w:szCs w:val="24"/>
          <w:lang w:val="id-ID"/>
        </w:rPr>
        <w:t xml:space="preserve">Sortino, F.A., </w:t>
      </w:r>
      <w:r>
        <w:rPr>
          <w:rFonts w:ascii="Times New Roman" w:hAnsi="Times New Roman"/>
          <w:sz w:val="24"/>
          <w:szCs w:val="24"/>
          <w:lang w:val="id-ID"/>
        </w:rPr>
        <w:t>&amp;</w:t>
      </w:r>
      <w:r w:rsidRPr="00BB743B">
        <w:rPr>
          <w:rFonts w:ascii="Times New Roman" w:hAnsi="Times New Roman"/>
          <w:sz w:val="24"/>
          <w:szCs w:val="24"/>
          <w:lang w:val="id-ID"/>
        </w:rPr>
        <w:t xml:space="preserve"> Price, L.N. (1994). Performance Measurement in a Downside Risk Framework. </w:t>
      </w:r>
      <w:r w:rsidRPr="00BB743B">
        <w:rPr>
          <w:rFonts w:ascii="Times New Roman" w:hAnsi="Times New Roman"/>
          <w:i/>
          <w:sz w:val="24"/>
          <w:szCs w:val="24"/>
          <w:lang w:val="id-ID"/>
        </w:rPr>
        <w:t>Journal of Investing</w:t>
      </w:r>
      <w:r w:rsidRPr="00BB743B">
        <w:rPr>
          <w:rFonts w:ascii="Times New Roman" w:hAnsi="Times New Roman"/>
          <w:sz w:val="24"/>
          <w:szCs w:val="24"/>
          <w:lang w:val="id-ID"/>
        </w:rPr>
        <w:t xml:space="preserve"> 3 (3). 59 – 65. </w:t>
      </w:r>
      <w:r w:rsidRPr="00BB743B">
        <w:rPr>
          <w:rFonts w:ascii="Times New Roman" w:hAnsi="Times New Roman"/>
          <w:sz w:val="24"/>
          <w:szCs w:val="24"/>
          <w:shd w:val="clear" w:color="auto" w:fill="FFFFFF"/>
        </w:rPr>
        <w:t>DOI: https://doi.org/10.3905/joi.3.3.59</w:t>
      </w:r>
    </w:p>
    <w:p w:rsidR="005553AC" w:rsidRDefault="005553AC" w:rsidP="005553AC">
      <w:pPr>
        <w:pStyle w:val="EndNoteBibliography"/>
        <w:spacing w:before="120" w:after="120"/>
        <w:ind w:left="720" w:hanging="720"/>
        <w:jc w:val="both"/>
        <w:rPr>
          <w:rFonts w:ascii="Times New Roman" w:hAnsi="Times New Roman"/>
          <w:sz w:val="24"/>
          <w:szCs w:val="24"/>
          <w:shd w:val="clear" w:color="auto" w:fill="FFFFFF"/>
          <w:lang w:val="id-ID"/>
        </w:rPr>
      </w:pPr>
      <w:r w:rsidRPr="00BB743B">
        <w:rPr>
          <w:rFonts w:ascii="Times New Roman" w:hAnsi="Times New Roman"/>
          <w:sz w:val="24"/>
          <w:szCs w:val="24"/>
        </w:rPr>
        <w:t>Spearman, C. (1904). The Proof and Measurement of Association between Two Things. Am. J. Psychol., 15. 72-101.</w:t>
      </w:r>
      <w:r w:rsidRPr="00BB743B">
        <w:rPr>
          <w:rFonts w:ascii="Times New Roman" w:hAnsi="Times New Roman"/>
          <w:sz w:val="24"/>
          <w:szCs w:val="24"/>
          <w:lang w:val="id-ID"/>
        </w:rPr>
        <w:t xml:space="preserve"> </w:t>
      </w:r>
      <w:r w:rsidRPr="00BB743B">
        <w:rPr>
          <w:rFonts w:ascii="Times New Roman" w:hAnsi="Times New Roman"/>
          <w:sz w:val="24"/>
          <w:szCs w:val="24"/>
          <w:shd w:val="clear" w:color="auto" w:fill="FFFFFF"/>
        </w:rPr>
        <w:t>DOI: 10.2307/1422689</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rPr>
        <w:t>Sudarsono, H.</w:t>
      </w:r>
      <w:r w:rsidRPr="00BB743B">
        <w:rPr>
          <w:rFonts w:ascii="Times New Roman" w:hAnsi="Times New Roman"/>
          <w:sz w:val="24"/>
          <w:szCs w:val="24"/>
          <w:lang w:val="id-ID"/>
        </w:rPr>
        <w:t xml:space="preserve"> (</w:t>
      </w:r>
      <w:r w:rsidRPr="00BB743B">
        <w:rPr>
          <w:rFonts w:ascii="Times New Roman" w:hAnsi="Times New Roman"/>
          <w:sz w:val="24"/>
          <w:szCs w:val="24"/>
        </w:rPr>
        <w:t>2003</w:t>
      </w:r>
      <w:r w:rsidRPr="00BB743B">
        <w:rPr>
          <w:rFonts w:ascii="Times New Roman" w:hAnsi="Times New Roman"/>
          <w:sz w:val="24"/>
          <w:szCs w:val="24"/>
          <w:lang w:val="id-ID"/>
        </w:rPr>
        <w:t xml:space="preserve">). </w:t>
      </w:r>
      <w:r w:rsidRPr="00BB743B">
        <w:rPr>
          <w:rFonts w:ascii="Times New Roman" w:hAnsi="Times New Roman"/>
          <w:i/>
          <w:sz w:val="24"/>
          <w:szCs w:val="24"/>
        </w:rPr>
        <w:t>Bank dan</w:t>
      </w:r>
      <w:r w:rsidRPr="00BB743B">
        <w:rPr>
          <w:rFonts w:ascii="Times New Roman" w:hAnsi="Times New Roman"/>
          <w:i/>
          <w:sz w:val="24"/>
          <w:szCs w:val="24"/>
          <w:lang w:val="id-ID"/>
        </w:rPr>
        <w:t xml:space="preserve"> </w:t>
      </w:r>
      <w:r w:rsidRPr="00BB743B">
        <w:rPr>
          <w:rFonts w:ascii="Times New Roman" w:hAnsi="Times New Roman"/>
          <w:i/>
          <w:sz w:val="24"/>
          <w:szCs w:val="24"/>
        </w:rPr>
        <w:t>Lembaga</w:t>
      </w:r>
      <w:r w:rsidRPr="00BB743B">
        <w:rPr>
          <w:rFonts w:ascii="Times New Roman" w:hAnsi="Times New Roman"/>
          <w:i/>
          <w:sz w:val="24"/>
          <w:szCs w:val="24"/>
          <w:lang w:val="id-ID"/>
        </w:rPr>
        <w:t xml:space="preserve"> </w:t>
      </w:r>
      <w:r w:rsidRPr="00BB743B">
        <w:rPr>
          <w:rFonts w:ascii="Times New Roman" w:hAnsi="Times New Roman"/>
          <w:i/>
          <w:sz w:val="24"/>
          <w:szCs w:val="24"/>
        </w:rPr>
        <w:t>KeuanganSyariah</w:t>
      </w:r>
      <w:r w:rsidRPr="00BB743B">
        <w:rPr>
          <w:rFonts w:ascii="Times New Roman" w:hAnsi="Times New Roman"/>
          <w:i/>
          <w:sz w:val="24"/>
          <w:szCs w:val="24"/>
          <w:lang w:val="id-ID"/>
        </w:rPr>
        <w:t xml:space="preserve"> </w:t>
      </w:r>
      <w:r w:rsidRPr="00BB743B">
        <w:rPr>
          <w:rFonts w:ascii="Times New Roman" w:hAnsi="Times New Roman"/>
          <w:i/>
          <w:sz w:val="24"/>
          <w:szCs w:val="24"/>
        </w:rPr>
        <w:t>Edisi 2</w:t>
      </w:r>
      <w:r w:rsidRPr="00BB743B">
        <w:rPr>
          <w:rFonts w:ascii="Times New Roman" w:hAnsi="Times New Roman"/>
          <w:sz w:val="24"/>
          <w:szCs w:val="24"/>
        </w:rPr>
        <w:t>.</w:t>
      </w:r>
      <w:r w:rsidRPr="00BB743B">
        <w:rPr>
          <w:rFonts w:ascii="Times New Roman" w:hAnsi="Times New Roman"/>
          <w:sz w:val="24"/>
          <w:szCs w:val="24"/>
          <w:lang w:val="id-ID"/>
        </w:rPr>
        <w:t xml:space="preserve"> </w:t>
      </w:r>
      <w:r w:rsidRPr="00BB743B">
        <w:rPr>
          <w:rFonts w:ascii="Times New Roman" w:hAnsi="Times New Roman"/>
          <w:sz w:val="24"/>
          <w:szCs w:val="24"/>
        </w:rPr>
        <w:t>Penerbit</w:t>
      </w:r>
      <w:r w:rsidRPr="00BB743B">
        <w:rPr>
          <w:rFonts w:ascii="Times New Roman" w:hAnsi="Times New Roman"/>
          <w:sz w:val="24"/>
          <w:szCs w:val="24"/>
          <w:lang w:val="id-ID"/>
        </w:rPr>
        <w:t xml:space="preserve"> </w:t>
      </w:r>
      <w:r w:rsidRPr="00BB743B">
        <w:rPr>
          <w:rFonts w:ascii="Times New Roman" w:hAnsi="Times New Roman"/>
          <w:sz w:val="24"/>
          <w:szCs w:val="24"/>
        </w:rPr>
        <w:t>Ekonisia</w:t>
      </w:r>
      <w:r w:rsidRPr="00BB743B">
        <w:rPr>
          <w:rFonts w:ascii="Times New Roman" w:hAnsi="Times New Roman"/>
          <w:sz w:val="24"/>
          <w:szCs w:val="24"/>
          <w:lang w:val="id-ID"/>
        </w:rPr>
        <w:t xml:space="preserve"> </w:t>
      </w:r>
      <w:r w:rsidRPr="00BB743B">
        <w:rPr>
          <w:rFonts w:ascii="Times New Roman" w:hAnsi="Times New Roman"/>
          <w:sz w:val="24"/>
          <w:szCs w:val="24"/>
        </w:rPr>
        <w:t>Fakultas FE UII</w:t>
      </w:r>
      <w:r w:rsidRPr="00BB743B">
        <w:rPr>
          <w:rFonts w:ascii="Times New Roman" w:hAnsi="Times New Roman"/>
          <w:sz w:val="24"/>
          <w:szCs w:val="24"/>
          <w:lang w:val="id-ID"/>
        </w:rPr>
        <w:t>,</w:t>
      </w:r>
      <w:r w:rsidRPr="00BB743B">
        <w:rPr>
          <w:rFonts w:ascii="Times New Roman" w:hAnsi="Times New Roman"/>
          <w:sz w:val="24"/>
          <w:szCs w:val="24"/>
        </w:rPr>
        <w:t xml:space="preserve"> Yogyakarta</w:t>
      </w:r>
      <w:r w:rsidRPr="00BB743B">
        <w:rPr>
          <w:rFonts w:ascii="Times New Roman" w:hAnsi="Times New Roman"/>
          <w:sz w:val="24"/>
          <w:szCs w:val="24"/>
          <w:lang w:val="id-ID"/>
        </w:rPr>
        <w:t>.</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Tomkins, C., </w:t>
      </w:r>
      <w:r>
        <w:rPr>
          <w:rFonts w:ascii="Times New Roman" w:hAnsi="Times New Roman"/>
          <w:sz w:val="24"/>
          <w:szCs w:val="24"/>
          <w:lang w:val="id-ID"/>
        </w:rPr>
        <w:t>&amp;</w:t>
      </w:r>
      <w:r w:rsidRPr="00BB743B">
        <w:rPr>
          <w:rFonts w:ascii="Times New Roman" w:hAnsi="Times New Roman"/>
          <w:sz w:val="24"/>
          <w:szCs w:val="24"/>
          <w:lang w:val="id-ID"/>
        </w:rPr>
        <w:t xml:space="preserve"> Karim, R. A. A. (1987). The Shari’ah and Its Implications for Islamic Financial Analysis: An Opportunity to Study Interactions Among Society, Organization and Accounting. </w:t>
      </w:r>
      <w:r w:rsidRPr="00BB743B">
        <w:rPr>
          <w:rFonts w:ascii="Times New Roman" w:hAnsi="Times New Roman"/>
          <w:i/>
          <w:sz w:val="24"/>
          <w:szCs w:val="24"/>
          <w:lang w:val="id-ID"/>
        </w:rPr>
        <w:t>The American Journal of Islamic Social Sciences</w:t>
      </w:r>
      <w:r w:rsidRPr="00BB743B">
        <w:rPr>
          <w:rFonts w:ascii="Times New Roman" w:hAnsi="Times New Roman"/>
          <w:sz w:val="24"/>
          <w:szCs w:val="24"/>
          <w:lang w:val="id-ID"/>
        </w:rPr>
        <w:t xml:space="preserve"> 4(1). 101-115. </w:t>
      </w:r>
    </w:p>
    <w:p w:rsidR="005553AC"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Tsay, R.S. (2010). </w:t>
      </w:r>
      <w:r w:rsidRPr="00BB743B">
        <w:rPr>
          <w:rFonts w:ascii="Times New Roman" w:hAnsi="Times New Roman"/>
          <w:i/>
          <w:sz w:val="24"/>
          <w:szCs w:val="24"/>
          <w:lang w:val="id-ID"/>
        </w:rPr>
        <w:t>Analysis of Financial Time Series</w:t>
      </w:r>
      <w:r w:rsidRPr="00BB743B">
        <w:rPr>
          <w:rFonts w:ascii="Times New Roman" w:hAnsi="Times New Roman"/>
          <w:sz w:val="24"/>
          <w:szCs w:val="24"/>
          <w:lang w:val="id-ID"/>
        </w:rPr>
        <w:t>. New Jersey: John Wiley &amp; Sons.</w:t>
      </w:r>
    </w:p>
    <w:p w:rsidR="005553AC" w:rsidRDefault="005553AC" w:rsidP="005553AC">
      <w:pPr>
        <w:pStyle w:val="EndNoteBibliography"/>
        <w:spacing w:before="120" w:after="120"/>
        <w:ind w:left="720" w:hanging="720"/>
        <w:jc w:val="both"/>
        <w:rPr>
          <w:lang w:val="id-ID"/>
        </w:rPr>
      </w:pPr>
      <w:r w:rsidRPr="00BB743B">
        <w:rPr>
          <w:rFonts w:ascii="Times New Roman" w:hAnsi="Times New Roman"/>
          <w:sz w:val="24"/>
          <w:szCs w:val="24"/>
          <w:lang w:val="id-ID"/>
        </w:rPr>
        <w:t xml:space="preserve">Tulasmi </w:t>
      </w:r>
      <w:r>
        <w:rPr>
          <w:rFonts w:ascii="Times New Roman" w:hAnsi="Times New Roman"/>
          <w:sz w:val="24"/>
          <w:szCs w:val="24"/>
          <w:lang w:val="id-ID"/>
        </w:rPr>
        <w:t>&amp;</w:t>
      </w:r>
      <w:r w:rsidRPr="00BB743B">
        <w:rPr>
          <w:rFonts w:ascii="Times New Roman" w:hAnsi="Times New Roman"/>
          <w:sz w:val="24"/>
          <w:szCs w:val="24"/>
          <w:lang w:val="id-ID"/>
        </w:rPr>
        <w:t xml:space="preserve"> Trihariyanto, R. R. (2016)</w:t>
      </w:r>
      <w:r w:rsidRPr="00BB743B">
        <w:rPr>
          <w:rFonts w:ascii="Times New Roman" w:hAnsi="Times New Roman"/>
          <w:i/>
          <w:sz w:val="24"/>
          <w:szCs w:val="24"/>
          <w:lang w:val="id-ID"/>
        </w:rPr>
        <w:t xml:space="preserve">. </w:t>
      </w:r>
      <w:r w:rsidRPr="00BB743B">
        <w:rPr>
          <w:rFonts w:ascii="Times New Roman" w:hAnsi="Times New Roman"/>
          <w:sz w:val="24"/>
          <w:szCs w:val="24"/>
          <w:lang w:val="id-ID"/>
        </w:rPr>
        <w:t xml:space="preserve">Islamic Stocks Indeks Performance: Comparative Studies Between Indonesia and Malaysia. </w:t>
      </w:r>
      <w:r w:rsidRPr="00BB743B">
        <w:rPr>
          <w:rFonts w:ascii="Times New Roman" w:hAnsi="Times New Roman"/>
          <w:i/>
          <w:sz w:val="24"/>
          <w:szCs w:val="24"/>
          <w:lang w:val="id-ID"/>
        </w:rPr>
        <w:t>Signifikan: Jurnal Ilmu Ekonomi</w:t>
      </w:r>
      <w:r>
        <w:rPr>
          <w:rFonts w:ascii="Times New Roman" w:hAnsi="Times New Roman"/>
          <w:sz w:val="24"/>
          <w:szCs w:val="24"/>
          <w:lang w:val="id-ID"/>
        </w:rPr>
        <w:t xml:space="preserve"> Volume 5 (1)</w:t>
      </w:r>
      <w:r w:rsidRPr="00BB743B">
        <w:rPr>
          <w:rFonts w:ascii="Times New Roman" w:hAnsi="Times New Roman"/>
          <w:sz w:val="24"/>
          <w:szCs w:val="24"/>
          <w:lang w:val="id-ID"/>
        </w:rPr>
        <w:t xml:space="preserve">. 69-82. </w:t>
      </w:r>
      <w:r w:rsidRPr="00BB743B">
        <w:rPr>
          <w:rFonts w:ascii="Times New Roman" w:hAnsi="Times New Roman"/>
          <w:sz w:val="24"/>
          <w:szCs w:val="24"/>
        </w:rPr>
        <w:t>DOI: </w:t>
      </w:r>
      <w:hyperlink r:id="rId40" w:history="1">
        <w:r w:rsidRPr="00BB743B">
          <w:rPr>
            <w:rStyle w:val="Hyperlink"/>
            <w:rFonts w:ascii="Times New Roman" w:hAnsi="Times New Roman"/>
            <w:sz w:val="24"/>
            <w:szCs w:val="24"/>
          </w:rPr>
          <w:t>https://doi.org/10.15408/sjie.v5i1.3127</w:t>
        </w:r>
      </w:hyperlink>
    </w:p>
    <w:p w:rsidR="002D5CC1" w:rsidRDefault="005553AC" w:rsidP="005553AC">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Utami, R. </w:t>
      </w:r>
      <w:r>
        <w:rPr>
          <w:rFonts w:ascii="Times New Roman" w:hAnsi="Times New Roman"/>
          <w:sz w:val="24"/>
          <w:szCs w:val="24"/>
          <w:lang w:val="id-ID"/>
        </w:rPr>
        <w:t>&amp;</w:t>
      </w:r>
      <w:r w:rsidRPr="00BB743B">
        <w:rPr>
          <w:rFonts w:ascii="Times New Roman" w:hAnsi="Times New Roman"/>
          <w:sz w:val="24"/>
          <w:szCs w:val="24"/>
          <w:lang w:val="id-ID"/>
        </w:rPr>
        <w:t xml:space="preserve">Nugraha, M. P. K. (2011). Analisis Kinerja Saham Syariah dan Pengaruhnya terhadap Respon Pasar pada Perusahaan yang Tercatat di Jakarta Islamic Indeks. </w:t>
      </w:r>
      <w:r w:rsidRPr="00BB743B">
        <w:rPr>
          <w:rFonts w:ascii="Times New Roman" w:hAnsi="Times New Roman"/>
          <w:i/>
          <w:sz w:val="24"/>
          <w:szCs w:val="24"/>
          <w:lang w:val="id-ID"/>
        </w:rPr>
        <w:t>Jurnal Reviw Akuntansi dan Keuangan</w:t>
      </w:r>
      <w:r w:rsidRPr="00BB743B">
        <w:rPr>
          <w:rFonts w:ascii="Times New Roman" w:hAnsi="Times New Roman"/>
          <w:sz w:val="24"/>
          <w:szCs w:val="24"/>
          <w:lang w:val="id-ID"/>
        </w:rPr>
        <w:t xml:space="preserve"> Vo.1 No. 2. 161-172.</w:t>
      </w:r>
    </w:p>
    <w:p w:rsidR="002D5CC1" w:rsidRDefault="005553AC" w:rsidP="002D5CC1">
      <w:pPr>
        <w:pStyle w:val="EndNoteBibliography"/>
        <w:spacing w:before="120" w:after="120"/>
        <w:ind w:left="720" w:hanging="720"/>
        <w:jc w:val="both"/>
        <w:rPr>
          <w:rFonts w:ascii="Times New Roman" w:hAnsi="Times New Roman"/>
          <w:sz w:val="24"/>
          <w:szCs w:val="24"/>
          <w:lang w:val="id-ID"/>
        </w:rPr>
      </w:pPr>
      <w:r w:rsidRPr="00BB743B">
        <w:rPr>
          <w:rFonts w:ascii="Times New Roman" w:hAnsi="Times New Roman"/>
          <w:sz w:val="24"/>
          <w:szCs w:val="24"/>
          <w:lang w:val="id-ID"/>
        </w:rPr>
        <w:t xml:space="preserve">Van Horne, J.C. (1992). </w:t>
      </w:r>
      <w:r w:rsidRPr="00BB743B">
        <w:rPr>
          <w:rFonts w:ascii="Times New Roman" w:hAnsi="Times New Roman"/>
          <w:i/>
          <w:sz w:val="24"/>
          <w:szCs w:val="24"/>
          <w:lang w:val="id-ID"/>
        </w:rPr>
        <w:t>Financial Management and Policy</w:t>
      </w:r>
      <w:r w:rsidRPr="00BB743B">
        <w:rPr>
          <w:rFonts w:ascii="Times New Roman" w:hAnsi="Times New Roman"/>
          <w:sz w:val="24"/>
          <w:szCs w:val="24"/>
          <w:lang w:val="id-ID"/>
        </w:rPr>
        <w:t>. 9</w:t>
      </w:r>
      <w:r w:rsidRPr="00BB743B">
        <w:rPr>
          <w:rFonts w:ascii="Times New Roman" w:hAnsi="Times New Roman"/>
          <w:sz w:val="24"/>
          <w:szCs w:val="24"/>
          <w:vertAlign w:val="superscript"/>
          <w:lang w:val="id-ID"/>
        </w:rPr>
        <w:t>th</w:t>
      </w:r>
      <w:r w:rsidRPr="00BB743B">
        <w:rPr>
          <w:rFonts w:ascii="Times New Roman" w:hAnsi="Times New Roman"/>
          <w:sz w:val="24"/>
          <w:szCs w:val="24"/>
          <w:lang w:val="id-ID"/>
        </w:rPr>
        <w:t xml:space="preserve"> edition. Englewood Cliffs, New Jersey: Prentice-Hall.</w:t>
      </w:r>
    </w:p>
    <w:p w:rsidR="002D5CC1" w:rsidRPr="002D5CC1" w:rsidRDefault="002D5CC1" w:rsidP="002D5CC1">
      <w:pPr>
        <w:pStyle w:val="EndNoteBibliography"/>
        <w:spacing w:before="120" w:after="120"/>
        <w:ind w:left="720" w:hanging="720"/>
        <w:jc w:val="both"/>
        <w:rPr>
          <w:rFonts w:ascii="Times New Roman" w:hAnsi="Times New Roman"/>
          <w:sz w:val="24"/>
          <w:szCs w:val="24"/>
          <w:lang w:val="id-ID"/>
        </w:rPr>
      </w:pPr>
      <w:r>
        <w:rPr>
          <w:rFonts w:ascii="Times New Roman" w:hAnsi="Times New Roman"/>
          <w:sz w:val="24"/>
          <w:szCs w:val="24"/>
          <w:lang w:val="id-ID"/>
        </w:rPr>
        <w:t>Yani, R.N, Arfan, M. &amp; Ma</w:t>
      </w:r>
      <w:r w:rsidRPr="002D5CC1">
        <w:rPr>
          <w:rFonts w:ascii="Times New Roman" w:hAnsi="Times New Roman" w:cs="Times New Roman"/>
          <w:sz w:val="24"/>
          <w:szCs w:val="24"/>
          <w:lang w:val="id-ID"/>
        </w:rPr>
        <w:t xml:space="preserve">jid, M.S.A. (2020). </w:t>
      </w:r>
      <w:r w:rsidRPr="002D5CC1">
        <w:rPr>
          <w:rFonts w:ascii="Times New Roman" w:hAnsi="Times New Roman" w:cs="Times New Roman"/>
          <w:sz w:val="24"/>
          <w:szCs w:val="24"/>
        </w:rPr>
        <w:t>What Determines Islamic Stock Returns In Indonesia?</w:t>
      </w:r>
      <w:r w:rsidRPr="002D5CC1">
        <w:rPr>
          <w:rFonts w:ascii="Times New Roman" w:hAnsi="Times New Roman" w:cs="Times New Roman"/>
          <w:sz w:val="24"/>
          <w:szCs w:val="24"/>
          <w:lang w:val="id-ID"/>
        </w:rPr>
        <w:t xml:space="preserve">. </w:t>
      </w:r>
      <w:r w:rsidRPr="002D5CC1">
        <w:rPr>
          <w:rFonts w:ascii="Times New Roman" w:hAnsi="Times New Roman" w:cs="Times New Roman"/>
          <w:i/>
          <w:sz w:val="24"/>
          <w:szCs w:val="24"/>
        </w:rPr>
        <w:t>SHARE Jurnal Ekonomi dan Keuangan Isl</w:t>
      </w:r>
      <w:r w:rsidRPr="002D5CC1">
        <w:rPr>
          <w:rFonts w:ascii="Times New Roman" w:hAnsi="Times New Roman" w:cs="Times New Roman"/>
          <w:i/>
          <w:sz w:val="24"/>
          <w:szCs w:val="24"/>
          <w:lang w:val="id-ID"/>
        </w:rPr>
        <w:t>am</w:t>
      </w:r>
      <w:r w:rsidRPr="002D5CC1">
        <w:rPr>
          <w:rFonts w:ascii="Times New Roman" w:hAnsi="Times New Roman" w:cs="Times New Roman"/>
          <w:sz w:val="24"/>
          <w:szCs w:val="24"/>
          <w:lang w:val="id-ID"/>
        </w:rPr>
        <w:t xml:space="preserve"> Vol 9, No. 1. 1-2</w:t>
      </w:r>
      <w:r w:rsidR="00E7489E">
        <w:rPr>
          <w:rFonts w:ascii="Times New Roman" w:hAnsi="Times New Roman" w:cs="Times New Roman"/>
          <w:sz w:val="24"/>
          <w:szCs w:val="24"/>
          <w:lang w:val="id-ID"/>
        </w:rPr>
        <w:t>1</w:t>
      </w:r>
      <w:r w:rsidRPr="002D5CC1">
        <w:rPr>
          <w:rFonts w:ascii="Times New Roman" w:hAnsi="Times New Roman" w:cs="Times New Roman"/>
          <w:sz w:val="24"/>
          <w:szCs w:val="24"/>
          <w:lang w:val="id-ID"/>
        </w:rPr>
        <w:t xml:space="preserve">. </w:t>
      </w:r>
      <w:r w:rsidRPr="002D5CC1">
        <w:rPr>
          <w:rFonts w:ascii="Times New Roman" w:hAnsi="Times New Roman" w:cs="Times New Roman"/>
          <w:sz w:val="24"/>
          <w:szCs w:val="24"/>
        </w:rPr>
        <w:t>DOI: 10.22373/share.v9i1.6259</w:t>
      </w:r>
    </w:p>
    <w:p w:rsidR="005553AC" w:rsidRPr="005553AC" w:rsidRDefault="005553AC" w:rsidP="005553AC">
      <w:pPr>
        <w:pStyle w:val="EndNoteBibliography"/>
        <w:spacing w:before="120" w:after="120"/>
        <w:ind w:left="720" w:hanging="720"/>
        <w:jc w:val="both"/>
        <w:rPr>
          <w:rFonts w:ascii="Times New Roman" w:hAnsi="Times New Roman" w:cs="Times New Roman"/>
          <w:sz w:val="24"/>
          <w:szCs w:val="24"/>
          <w:lang w:val="id-ID"/>
        </w:rPr>
      </w:pPr>
      <w:r w:rsidRPr="00BB743B">
        <w:rPr>
          <w:rFonts w:ascii="Times New Roman" w:hAnsi="Times New Roman"/>
          <w:sz w:val="24"/>
          <w:szCs w:val="24"/>
          <w:lang w:val="id-ID"/>
        </w:rPr>
        <w:t xml:space="preserve">Ziemba, W. (2005). The Symmetric Downside-Risk Sharpe Ratio. </w:t>
      </w:r>
      <w:r w:rsidRPr="00BB743B">
        <w:rPr>
          <w:rFonts w:ascii="Times New Roman" w:hAnsi="Times New Roman"/>
          <w:i/>
          <w:sz w:val="24"/>
          <w:szCs w:val="24"/>
          <w:lang w:val="id-ID"/>
        </w:rPr>
        <w:t>Journal of Portfolio Management</w:t>
      </w:r>
      <w:r w:rsidRPr="00BB743B">
        <w:rPr>
          <w:rFonts w:ascii="Times New Roman" w:hAnsi="Times New Roman"/>
          <w:sz w:val="24"/>
          <w:szCs w:val="24"/>
          <w:lang w:val="id-ID"/>
        </w:rPr>
        <w:t xml:space="preserve">. 32 (1). 108–122. </w:t>
      </w:r>
      <w:r w:rsidRPr="00BB743B">
        <w:rPr>
          <w:rFonts w:ascii="Times New Roman" w:hAnsi="Times New Roman"/>
          <w:sz w:val="24"/>
          <w:szCs w:val="24"/>
          <w:shd w:val="clear" w:color="auto" w:fill="FFFFFF"/>
        </w:rPr>
        <w:t>DOI: https://doi.org/10.3905/jpm.2005.599515</w:t>
      </w:r>
    </w:p>
    <w:p w:rsidR="00427C97" w:rsidRPr="005553AC" w:rsidRDefault="00427C97" w:rsidP="00427C97">
      <w:pPr>
        <w:pStyle w:val="EndNoteBibliography"/>
        <w:spacing w:before="120" w:after="120"/>
        <w:ind w:left="720" w:hanging="720"/>
        <w:jc w:val="both"/>
        <w:rPr>
          <w:rFonts w:ascii="Times New Roman" w:hAnsi="Times New Roman" w:cs="Times New Roman"/>
          <w:sz w:val="24"/>
          <w:szCs w:val="24"/>
          <w:lang w:val="id-ID"/>
        </w:rPr>
      </w:pPr>
    </w:p>
    <w:p w:rsidR="003F2933" w:rsidRPr="005553AC" w:rsidRDefault="00645AE7" w:rsidP="005553AC">
      <w:pPr>
        <w:pStyle w:val="NoSpacing"/>
        <w:jc w:val="both"/>
        <w:rPr>
          <w:rFonts w:ascii="Times New Roman" w:hAnsi="Times New Roman"/>
          <w:sz w:val="24"/>
          <w:szCs w:val="24"/>
          <w:lang w:val="id-ID"/>
        </w:rPr>
      </w:pPr>
      <w:r w:rsidRPr="000A50EF">
        <w:rPr>
          <w:rFonts w:ascii="Times New Roman" w:hAnsi="Times New Roman"/>
          <w:sz w:val="24"/>
          <w:szCs w:val="24"/>
        </w:rPr>
        <w:fldChar w:fldCharType="end"/>
      </w:r>
    </w:p>
    <w:sectPr w:rsidR="003F2933" w:rsidRPr="005553AC" w:rsidSect="00641A7E">
      <w:headerReference w:type="even" r:id="rId41"/>
      <w:headerReference w:type="default" r:id="rId42"/>
      <w:footerReference w:type="even" r:id="rId43"/>
      <w:footerReference w:type="default" r:id="rId44"/>
      <w:headerReference w:type="first" r:id="rId45"/>
      <w:footerReference w:type="first" r:id="rId46"/>
      <w:footnotePr>
        <w:numRestart w:val="eachSect"/>
      </w:footnotePr>
      <w:endnotePr>
        <w:numFmt w:val="decimal"/>
        <w:numRestart w:val="eachSect"/>
      </w:endnotePr>
      <w:type w:val="continuous"/>
      <w:pgSz w:w="11907" w:h="16839" w:code="9"/>
      <w:pgMar w:top="2268" w:right="2098" w:bottom="2098" w:left="2268" w:header="1587"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E44" w:rsidRPr="002E1861" w:rsidRDefault="00D36E44" w:rsidP="002E1861">
      <w:pPr>
        <w:pStyle w:val="Footer"/>
      </w:pPr>
    </w:p>
  </w:endnote>
  <w:endnote w:type="continuationSeparator" w:id="1">
    <w:p w:rsidR="00D36E44" w:rsidRPr="002E1861" w:rsidRDefault="00D36E44" w:rsidP="002E1861">
      <w:pPr>
        <w:pStyle w:val="Foo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ＤＦ平成明朝体W3">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019"/>
      <w:gridCol w:w="4571"/>
    </w:tblGrid>
    <w:tr w:rsidR="00777FA3" w:rsidRPr="0029237C">
      <w:tc>
        <w:tcPr>
          <w:tcW w:w="0" w:type="auto"/>
        </w:tcPr>
        <w:p w:rsidR="00777FA3" w:rsidRPr="0029237C" w:rsidRDefault="00645AE7">
          <w:pPr>
            <w:pStyle w:val="Footer"/>
          </w:pPr>
          <w:r w:rsidRPr="00645AE7">
            <w:rPr>
              <w:noProof/>
              <w:lang w:val="en-US"/>
            </w:rPr>
          </w:r>
          <w:r w:rsidRPr="00645AE7">
            <w:rPr>
              <w:noProof/>
              <w:lang w:val="en-US"/>
            </w:rPr>
            <w:pict>
              <v:group id="Group 4" o:spid="_x0000_s4101"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">
                <v:rect id="Rectangle 5" o:spid="_x0000_s4104"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5jsEA&#10;AADaAAAADwAAAGRycy9kb3ducmV2LnhtbESPzarCMBSE9xd8h3AEd9dUwaLVKKIIurgLfx7g0Byb&#10;anNSmlTr25sLgsthZr5hFqvOVuJBjS8dKxgNExDEudMlFwou593vFIQPyBorx6TgRR5Wy97PAjPt&#10;nnykxykUIkLYZ6jAhFBnUvrckEU/dDVx9K6usRiibAqpG3xGuK3kOElSabHkuGCwpo2h/H5qrYKz&#10;Kd32dpvt2kubjwv+m6Sz5KDUoN+t5yACdeEb/rT3WkEK/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n+Y7BAAAA2gAAAA8AAAAAAAAAAAAAAAAAmAIAAGRycy9kb3du&#10;cmV2LnhtbFBLBQYAAAAABAAEAPUAAACGAwAAAAA=&#10;" fillcolor="#404040 [2429]" strokecolor="white [3212]" strokeweight="1pt">
                  <v:fill opacity="32896f"/>
                  <v:shadow color="#d8d8d8 [2732]" offset="3pt,3pt"/>
                </v:rect>
                <v:rect id="Rectangle 6" o:spid="_x0000_s4103"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KMsMA&#10;AADaAAAADwAAAGRycy9kb3ducmV2LnhtbESPwWrDMBBE74X+g9hCb7XcHNriRDHBJSTQQ4hTel6k&#10;jW1irYykxE6/PioEehxm5g2zKCfbiwv50DlW8JrlIIi1Mx03Cr4P65cPECEiG+wdk4IrBSiXjw8L&#10;LIwbeU+XOjYiQTgUqKCNcSikDLoliyFzA3Hyjs5bjEn6RhqPY4LbXs7y/E1a7DgttDhQ1ZI+1Wer&#10;QFdnM11nu+H3q9bBx8/t+LNxSj0/Tas5iEhT/A/f21uj4B3+rq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qKMsMAAADaAAAADwAAAAAAAAAAAAAAAACYAgAAZHJzL2Rv&#10;d25yZXYueG1sUEsFBgAAAAAEAAQA9QAAAIgDAAAAAA==&#10;" fillcolor="#404040 [2429]" strokecolor="white [3212]" strokeweight="1pt">
                  <v:shadow color="#d8d8d8 [2732]" offset="3pt,3pt"/>
                </v:rect>
                <v:rect id="Rectangle 7" o:spid="_x0000_s410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h+sAA&#10;AADaAAAADwAAAGRycy9kb3ducmV2LnhtbERPzYrCMBC+L/gOYYS9ramFFe0aiyiCe9iDPw8wNLNN&#10;tZmUJrX17U1hYU/Dx/c763ywtXhQ6yvHCuazBARx4XTFpYLr5fCxBOEDssbaMSl4kod8M3lbY6Zd&#10;zyd6nEMpYgj7DBWYEJpMSl8YsuhnriGO3K9rLYYI21LqFvsYbmuZJslCWqw4NhhsaGeouJ87q+Bi&#10;Kre/3VaH7toVack/n4tV8q3U+3TYfoEINIR/8Z/7qON8GF8Zr9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5h+sAAAADaAAAADwAAAAAAAAAAAAAAAACYAgAAZHJzL2Rvd25y&#10;ZXYueG1sUEsFBgAAAAAEAAQA9QAAAIUDAAAAAA==&#10;" fillcolor="#404040 [2429]" strokecolor="white [3212]" strokeweight="1pt">
                  <v:fill opacity="32896f"/>
                  <v:shadow color="#d8d8d8 [2732]" offset="3pt,3pt"/>
                </v:rect>
                <w10:wrap type="none"/>
                <w10:anchorlock/>
              </v:group>
            </w:pict>
          </w:r>
        </w:p>
      </w:tc>
      <w:tc>
        <w:tcPr>
          <w:tcW w:w="0" w:type="auto"/>
        </w:tcPr>
        <w:p w:rsidR="00777FA3" w:rsidRPr="0029237C" w:rsidRDefault="00777FA3" w:rsidP="00D70B57">
          <w:pPr>
            <w:pStyle w:val="Footer"/>
            <w:rPr>
              <w:rFonts w:ascii="Garamond" w:hAnsi="Garamond"/>
              <w:i/>
            </w:rPr>
          </w:pPr>
          <w:r w:rsidRPr="00B0389E">
            <w:rPr>
              <w:rFonts w:ascii="Garamond" w:hAnsi="Garamond"/>
              <w:i/>
            </w:rPr>
            <w:t xml:space="preserve">SHARE | Volume </w:t>
          </w:r>
          <w:r>
            <w:rPr>
              <w:rFonts w:ascii="Garamond" w:hAnsi="Garamond"/>
              <w:i/>
            </w:rPr>
            <w:t>00</w:t>
          </w:r>
          <w:r w:rsidRPr="00B0389E">
            <w:rPr>
              <w:rFonts w:ascii="Garamond" w:hAnsi="Garamond"/>
              <w:i/>
            </w:rPr>
            <w:t xml:space="preserve"> | Number </w:t>
          </w:r>
          <w:r>
            <w:rPr>
              <w:rFonts w:ascii="Garamond" w:hAnsi="Garamond"/>
              <w:i/>
            </w:rPr>
            <w:t>0</w:t>
          </w:r>
          <w:r w:rsidRPr="00B0389E">
            <w:rPr>
              <w:rFonts w:ascii="Garamond" w:hAnsi="Garamond"/>
              <w:i/>
            </w:rPr>
            <w:t xml:space="preserve"> | </w:t>
          </w:r>
          <w:r>
            <w:rPr>
              <w:rFonts w:ascii="Garamond" w:hAnsi="Garamond"/>
              <w:i/>
            </w:rPr>
            <w:t xml:space="preserve">Month </w:t>
          </w:r>
          <w:r w:rsidRPr="00B0389E">
            <w:rPr>
              <w:rFonts w:ascii="Garamond" w:hAnsi="Garamond"/>
              <w:i/>
            </w:rPr>
            <w:t xml:space="preserve">- </w:t>
          </w:r>
          <w:r>
            <w:rPr>
              <w:rFonts w:ascii="Garamond" w:hAnsi="Garamond"/>
              <w:i/>
            </w:rPr>
            <w:t xml:space="preserve">Month </w:t>
          </w:r>
          <w:r w:rsidRPr="00B0389E">
            <w:rPr>
              <w:rFonts w:ascii="Garamond" w:hAnsi="Garamond"/>
              <w:i/>
            </w:rPr>
            <w:t>20</w:t>
          </w:r>
          <w:r>
            <w:rPr>
              <w:rFonts w:ascii="Garamond" w:hAnsi="Garamond"/>
              <w:i/>
            </w:rPr>
            <w:t>XX</w:t>
          </w:r>
        </w:p>
      </w:tc>
    </w:tr>
  </w:tbl>
  <w:p w:rsidR="00777FA3" w:rsidRPr="0029237C" w:rsidRDefault="00777F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4571"/>
      <w:gridCol w:w="1016"/>
    </w:tblGrid>
    <w:tr w:rsidR="00777FA3" w:rsidRPr="00D6396E">
      <w:trPr>
        <w:jc w:val="right"/>
      </w:trPr>
      <w:tc>
        <w:tcPr>
          <w:tcW w:w="0" w:type="auto"/>
        </w:tcPr>
        <w:p w:rsidR="00777FA3" w:rsidRPr="00B0389E" w:rsidRDefault="00777FA3" w:rsidP="00821820">
          <w:pPr>
            <w:pStyle w:val="Footer"/>
            <w:jc w:val="right"/>
            <w:rPr>
              <w:rFonts w:ascii="Garamond" w:hAnsi="Garamond"/>
              <w:i/>
            </w:rPr>
          </w:pPr>
          <w:r w:rsidRPr="00B0389E">
            <w:rPr>
              <w:rFonts w:ascii="Garamond" w:hAnsi="Garamond"/>
              <w:i/>
            </w:rPr>
            <w:t xml:space="preserve">SHARE | Volume </w:t>
          </w:r>
          <w:r>
            <w:rPr>
              <w:rFonts w:ascii="Garamond" w:hAnsi="Garamond"/>
              <w:i/>
            </w:rPr>
            <w:t>00</w:t>
          </w:r>
          <w:r w:rsidRPr="00B0389E">
            <w:rPr>
              <w:rFonts w:ascii="Garamond" w:hAnsi="Garamond"/>
              <w:i/>
            </w:rPr>
            <w:t xml:space="preserve"> | Number </w:t>
          </w:r>
          <w:r>
            <w:rPr>
              <w:rFonts w:ascii="Garamond" w:hAnsi="Garamond"/>
              <w:i/>
            </w:rPr>
            <w:t>0</w:t>
          </w:r>
          <w:r w:rsidRPr="00B0389E">
            <w:rPr>
              <w:rFonts w:ascii="Garamond" w:hAnsi="Garamond"/>
              <w:i/>
            </w:rPr>
            <w:t xml:space="preserve"> | </w:t>
          </w:r>
          <w:r>
            <w:rPr>
              <w:rFonts w:ascii="Garamond" w:hAnsi="Garamond"/>
              <w:i/>
            </w:rPr>
            <w:t xml:space="preserve">Month </w:t>
          </w:r>
          <w:r w:rsidRPr="00B0389E">
            <w:rPr>
              <w:rFonts w:ascii="Garamond" w:hAnsi="Garamond"/>
              <w:i/>
            </w:rPr>
            <w:t xml:space="preserve">- </w:t>
          </w:r>
          <w:r>
            <w:rPr>
              <w:rFonts w:ascii="Garamond" w:hAnsi="Garamond"/>
              <w:i/>
            </w:rPr>
            <w:t xml:space="preserve">Month </w:t>
          </w:r>
          <w:r w:rsidRPr="00B0389E">
            <w:rPr>
              <w:rFonts w:ascii="Garamond" w:hAnsi="Garamond"/>
              <w:i/>
            </w:rPr>
            <w:t>20</w:t>
          </w:r>
          <w:r>
            <w:rPr>
              <w:rFonts w:ascii="Garamond" w:hAnsi="Garamond"/>
              <w:i/>
            </w:rPr>
            <w:t>XX</w:t>
          </w:r>
        </w:p>
      </w:tc>
      <w:tc>
        <w:tcPr>
          <w:tcW w:w="0" w:type="auto"/>
        </w:tcPr>
        <w:p w:rsidR="00777FA3" w:rsidRPr="00D6396E" w:rsidRDefault="00645AE7" w:rsidP="00821820">
          <w:pPr>
            <w:pStyle w:val="Footer"/>
            <w:jc w:val="right"/>
            <w:rPr>
              <w:sz w:val="18"/>
            </w:rPr>
          </w:pPr>
          <w:r w:rsidRPr="00645AE7">
            <w:rPr>
              <w:noProof/>
              <w:sz w:val="18"/>
              <w:lang w:val="en-US"/>
            </w:rPr>
          </w:r>
          <w:r w:rsidRPr="00645AE7">
            <w:rPr>
              <w:noProof/>
              <w:sz w:val="18"/>
              <w:lang w:val="en-US"/>
            </w:rPr>
            <w:pict>
              <v:group id="Group 8" o:spid="_x0000_s4097"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">
                <v:rect id="Rectangle 9" o:spid="_x0000_s410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aFsMA&#10;AADaAAAADwAAAGRycy9kb3ducmV2LnhtbESPQWvCQBSE7wX/w/IKvdVNUww1dQ2iBPTgoeoPeGRf&#10;s7HZtyG70fjvXUHocZiZb5hFMdpWXKj3jWMFH9MEBHHldMO1gtOxfP8C4QOyxtYxKbiRh2I5eVlg&#10;rt2Vf+hyCLWIEPY5KjAhdLmUvjJk0U9dRxy9X9dbDFH2tdQ9XiPctjJNkkxabDguGOxobaj6OwxW&#10;wdE0bnM+z8vhNFRpzftZNk92Sr29jqtvEIHG8B9+trdawSc8rs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BaFsMAAADaAAAADwAAAAAAAAAAAAAAAACYAgAAZHJzL2Rv&#10;d25yZXYueG1sUEsFBgAAAAAEAAQA9QAAAIgDAAAAAA==&#10;" fillcolor="#404040 [2429]" strokecolor="white [3212]" strokeweight="1pt">
                  <v:fill opacity="32896f"/>
                  <v:shadow color="#d8d8d8 [2732]" offset="3pt,3pt"/>
                </v:rect>
                <v:rect id="Rectangle 10" o:spid="_x0000_s4099"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URcMA&#10;AADaAAAADwAAAGRycy9kb3ducmV2LnhtbESPwWrDMBBE74X+g9hCb7XcUEpxopjgEhLoIcQpPS/S&#10;xjaxVkZSYqdfHxUCPQ4z84ZZlJPtxYV86BwreM1yEMTamY4bBd+H9csHiBCRDfaOScGVApTLx4cF&#10;FsaNvKdLHRuRIBwKVNDGOBRSBt2SxZC5gTh5R+ctxiR9I43HMcFtL2d5/i4tdpwWWhyoakmf6rNV&#10;oKuzma6z3fD7Vevg4+d2/Nk4pZ6fptUcRKQp/ofv7a1R8AZ/V9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gURcMAAADaAAAADwAAAAAAAAAAAAAAAACYAgAAZHJzL2Rv&#10;d25yZXYueG1sUEsFBgAAAAAEAAQA9QAAAIgDAAAAAA==&#10;" fillcolor="#404040 [2429]" strokecolor="white [3212]" strokeweight="1pt">
                  <v:shadow color="#d8d8d8 [2732]" offset="3pt,3pt"/>
                </v:rect>
                <v:rect id="Rectangle 11" o:spid="_x0000_s4098"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IZ7wA&#10;AADaAAAADwAAAGRycy9kb3ducmV2LnhtbERPSwrCMBDdC94hjOBOUwVFq1FEEXThws8BhmZsqs2k&#10;NKnW25uF4PLx/st1a0vxotoXjhWMhgkI4szpgnMFt+t+MAPhA7LG0jEp+JCH9arbWWKq3ZvP9LqE&#10;XMQQ9ikqMCFUqZQ+M2TRD11FHLm7qy2GCOtc6hrfMdyWcpwkU2mx4NhgsKKtoex5aayCqync7vGY&#10;75tbk41zPk2m8+SoVL/XbhYgArXhL/65D1pB3Bqvx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NMhnvAAAANoAAAAPAAAAAAAAAAAAAAAAAJgCAABkcnMvZG93bnJldi54&#10;bWxQSwUGAAAAAAQABAD1AAAAgQMAAAAA&#10;" fillcolor="#404040 [2429]" strokecolor="white [3212]" strokeweight="1pt">
                  <v:fill opacity="32896f"/>
                  <v:shadow color="#d8d8d8 [2732]" offset="3pt,3pt"/>
                </v:rect>
                <w10:wrap type="none"/>
                <w10:anchorlock/>
              </v:group>
            </w:pict>
          </w:r>
        </w:p>
      </w:tc>
    </w:tr>
  </w:tbl>
  <w:p w:rsidR="00777FA3" w:rsidRPr="00D6396E" w:rsidRDefault="00777FA3" w:rsidP="00580C3D">
    <w:pPr>
      <w:pStyle w:val="Footer"/>
      <w:jc w:val="right"/>
      <w:rPr>
        <w:rFonts w:ascii="Tahoma" w:hAnsi="Tahoma" w:cs="Tahoma"/>
        <w:sz w:val="14"/>
        <w:szCs w:val="16"/>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29" w:rsidRDefault="00CA0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E44" w:rsidRDefault="00D36E44" w:rsidP="00616B94">
      <w:pPr>
        <w:spacing w:after="0" w:line="240" w:lineRule="auto"/>
      </w:pPr>
      <w:r>
        <w:separator/>
      </w:r>
    </w:p>
  </w:footnote>
  <w:footnote w:type="continuationSeparator" w:id="1">
    <w:p w:rsidR="00D36E44" w:rsidRDefault="00D36E44" w:rsidP="00616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A3" w:rsidRDefault="00645AE7" w:rsidP="00B33930">
    <w:pPr>
      <w:pStyle w:val="Header"/>
      <w:tabs>
        <w:tab w:val="clear" w:pos="4153"/>
        <w:tab w:val="clear" w:pos="8306"/>
        <w:tab w:val="right" w:pos="7541"/>
      </w:tabs>
    </w:pPr>
    <w:sdt>
      <w:sdtPr>
        <w:id w:val="877896864"/>
        <w:docPartObj>
          <w:docPartGallery w:val="Page Numbers (Top of Page)"/>
          <w:docPartUnique/>
        </w:docPartObj>
      </w:sdtPr>
      <w:sdtEndPr>
        <w:rPr>
          <w:noProof/>
        </w:rPr>
      </w:sdtEndPr>
      <w:sdtContent>
        <w:r w:rsidRPr="00E65492">
          <w:rPr>
            <w:rFonts w:ascii="Times New Roman" w:hAnsi="Times New Roman"/>
            <w:sz w:val="20"/>
            <w:szCs w:val="20"/>
          </w:rPr>
          <w:fldChar w:fldCharType="begin"/>
        </w:r>
        <w:r w:rsidR="00777FA3" w:rsidRPr="00E65492">
          <w:rPr>
            <w:rFonts w:ascii="Times New Roman" w:hAnsi="Times New Roman"/>
            <w:sz w:val="20"/>
            <w:szCs w:val="20"/>
          </w:rPr>
          <w:instrText xml:space="preserve"> PAGE   \* MERGEFORMAT </w:instrText>
        </w:r>
        <w:r w:rsidRPr="00E65492">
          <w:rPr>
            <w:rFonts w:ascii="Times New Roman" w:hAnsi="Times New Roman"/>
            <w:sz w:val="20"/>
            <w:szCs w:val="20"/>
          </w:rPr>
          <w:fldChar w:fldCharType="separate"/>
        </w:r>
        <w:r w:rsidR="0051301F">
          <w:rPr>
            <w:rFonts w:ascii="Times New Roman" w:hAnsi="Times New Roman"/>
            <w:noProof/>
            <w:sz w:val="20"/>
            <w:szCs w:val="20"/>
          </w:rPr>
          <w:t>16</w:t>
        </w:r>
        <w:r w:rsidRPr="00E65492">
          <w:rPr>
            <w:rFonts w:ascii="Times New Roman" w:hAnsi="Times New Roman"/>
            <w:noProof/>
            <w:sz w:val="20"/>
            <w:szCs w:val="20"/>
          </w:rPr>
          <w:fldChar w:fldCharType="end"/>
        </w:r>
      </w:sdtContent>
    </w:sdt>
    <w:r w:rsidR="00777FA3">
      <w:rPr>
        <w:noProof/>
      </w:rPr>
      <w:tab/>
    </w:r>
    <w:r w:rsidR="005553AC">
      <w:rPr>
        <w:rFonts w:ascii="Garamond" w:hAnsi="Garamond"/>
        <w:i/>
        <w:sz w:val="20"/>
        <w:szCs w:val="20"/>
      </w:rPr>
      <w:t>Qudratullah</w:t>
    </w:r>
    <w:r w:rsidR="00777FA3" w:rsidRPr="00B0389E">
      <w:rPr>
        <w:rFonts w:ascii="Garamond" w:hAnsi="Garamond"/>
        <w:i/>
        <w:sz w:val="20"/>
        <w:lang w:val="en-GB"/>
      </w:rPr>
      <w:t xml:space="preserve">| </w:t>
    </w:r>
    <w:r w:rsidR="005553AC">
      <w:rPr>
        <w:rFonts w:ascii="Garamond" w:hAnsi="Garamond"/>
        <w:i/>
        <w:sz w:val="20"/>
      </w:rPr>
      <w:t>The Modification of Sharpe Ratio</w:t>
    </w:r>
    <w:r w:rsidR="00777FA3" w:rsidRPr="00B0389E">
      <w:rPr>
        <w:rFonts w:ascii="Garamond" w:hAnsi="Garamond"/>
        <w:i/>
        <w:color w:val="222222"/>
        <w:sz w:val="20"/>
        <w:szCs w:val="20"/>
      </w:rPr>
      <w:t>_</w:t>
    </w:r>
  </w:p>
  <w:p w:rsidR="00777FA3" w:rsidRDefault="00777F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A3" w:rsidRPr="00E65492" w:rsidRDefault="00CA0E29" w:rsidP="00B33930">
    <w:pPr>
      <w:pStyle w:val="Header"/>
      <w:tabs>
        <w:tab w:val="clear" w:pos="8306"/>
        <w:tab w:val="right" w:pos="7513"/>
        <w:tab w:val="right" w:pos="7541"/>
      </w:tabs>
      <w:rPr>
        <w:rFonts w:ascii="Times New Roman" w:hAnsi="Times New Roman"/>
      </w:rPr>
    </w:pPr>
    <w:r>
      <w:rPr>
        <w:rFonts w:ascii="Garamond" w:hAnsi="Garamond"/>
        <w:i/>
        <w:sz w:val="20"/>
        <w:szCs w:val="20"/>
      </w:rPr>
      <w:t>Qudratullah</w:t>
    </w:r>
    <w:r w:rsidRPr="00B0389E">
      <w:rPr>
        <w:rFonts w:ascii="Garamond" w:hAnsi="Garamond"/>
        <w:i/>
        <w:sz w:val="20"/>
        <w:lang w:val="en-GB"/>
      </w:rPr>
      <w:t xml:space="preserve">| </w:t>
    </w:r>
    <w:r>
      <w:rPr>
        <w:rFonts w:ascii="Garamond" w:hAnsi="Garamond"/>
        <w:i/>
        <w:sz w:val="20"/>
      </w:rPr>
      <w:t>The Modification of Sharpe Ratio</w:t>
    </w:r>
    <w:r w:rsidRPr="00B0389E">
      <w:rPr>
        <w:rFonts w:ascii="Garamond" w:hAnsi="Garamond"/>
        <w:i/>
        <w:color w:val="222222"/>
        <w:sz w:val="20"/>
        <w:szCs w:val="20"/>
      </w:rPr>
      <w:t>_</w:t>
    </w:r>
    <w:r w:rsidR="00777FA3">
      <w:rPr>
        <w:lang w:val="en-US"/>
      </w:rPr>
      <w:tab/>
    </w:r>
    <w:r w:rsidR="00777FA3">
      <w:rPr>
        <w:lang w:val="en-US"/>
      </w:rPr>
      <w:tab/>
    </w:r>
    <w:sdt>
      <w:sdtPr>
        <w:id w:val="-1284420027"/>
        <w:docPartObj>
          <w:docPartGallery w:val="Page Numbers (Top of Page)"/>
          <w:docPartUnique/>
        </w:docPartObj>
      </w:sdtPr>
      <w:sdtEndPr>
        <w:rPr>
          <w:rFonts w:ascii="Times New Roman" w:hAnsi="Times New Roman"/>
          <w:noProof/>
          <w:sz w:val="20"/>
          <w:szCs w:val="20"/>
        </w:rPr>
      </w:sdtEndPr>
      <w:sdtContent>
        <w:r w:rsidR="00645AE7" w:rsidRPr="00E65492">
          <w:rPr>
            <w:rFonts w:ascii="Times New Roman" w:hAnsi="Times New Roman"/>
            <w:sz w:val="20"/>
            <w:szCs w:val="20"/>
          </w:rPr>
          <w:fldChar w:fldCharType="begin"/>
        </w:r>
        <w:r w:rsidR="00777FA3" w:rsidRPr="00E65492">
          <w:rPr>
            <w:rFonts w:ascii="Times New Roman" w:hAnsi="Times New Roman"/>
            <w:sz w:val="20"/>
            <w:szCs w:val="20"/>
          </w:rPr>
          <w:instrText xml:space="preserve"> PAGE   \* MERGEFORMAT </w:instrText>
        </w:r>
        <w:r w:rsidR="00645AE7" w:rsidRPr="00E65492">
          <w:rPr>
            <w:rFonts w:ascii="Times New Roman" w:hAnsi="Times New Roman"/>
            <w:sz w:val="20"/>
            <w:szCs w:val="20"/>
          </w:rPr>
          <w:fldChar w:fldCharType="separate"/>
        </w:r>
        <w:r w:rsidR="00D36E44">
          <w:rPr>
            <w:rFonts w:ascii="Times New Roman" w:hAnsi="Times New Roman"/>
            <w:noProof/>
            <w:sz w:val="20"/>
            <w:szCs w:val="20"/>
          </w:rPr>
          <w:t>1</w:t>
        </w:r>
        <w:r w:rsidR="00645AE7" w:rsidRPr="00E65492">
          <w:rPr>
            <w:rFonts w:ascii="Times New Roman" w:hAnsi="Times New Roman"/>
            <w:noProof/>
            <w:sz w:val="20"/>
            <w:szCs w:val="20"/>
          </w:rPr>
          <w:fldChar w:fldCharType="end"/>
        </w:r>
      </w:sdtContent>
    </w:sdt>
  </w:p>
  <w:p w:rsidR="00777FA3" w:rsidRPr="00B33930" w:rsidRDefault="00777FA3" w:rsidP="00D6396E">
    <w:pPr>
      <w:pStyle w:val="NoSpacing"/>
      <w:jc w:val="right"/>
      <w:rPr>
        <w:iCs/>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29" w:rsidRDefault="00CA0E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2178"/>
    <w:multiLevelType w:val="hybridMultilevel"/>
    <w:tmpl w:val="8566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A0874"/>
    <w:multiLevelType w:val="hybridMultilevel"/>
    <w:tmpl w:val="524CC412"/>
    <w:lvl w:ilvl="0" w:tplc="5CF4585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B08E6"/>
    <w:multiLevelType w:val="hybridMultilevel"/>
    <w:tmpl w:val="148C94AE"/>
    <w:lvl w:ilvl="0" w:tplc="41A47B5E">
      <w:start w:val="1"/>
      <w:numFmt w:val="bullet"/>
      <w:lvlText w:val="•"/>
      <w:lvlJc w:val="left"/>
      <w:pPr>
        <w:tabs>
          <w:tab w:val="num" w:pos="720"/>
        </w:tabs>
        <w:ind w:left="720" w:hanging="360"/>
      </w:pPr>
      <w:rPr>
        <w:rFonts w:ascii="Times New Roman" w:hAnsi="Times New Roman" w:hint="default"/>
      </w:rPr>
    </w:lvl>
    <w:lvl w:ilvl="1" w:tplc="42A89284" w:tentative="1">
      <w:start w:val="1"/>
      <w:numFmt w:val="bullet"/>
      <w:lvlText w:val="•"/>
      <w:lvlJc w:val="left"/>
      <w:pPr>
        <w:tabs>
          <w:tab w:val="num" w:pos="1440"/>
        </w:tabs>
        <w:ind w:left="1440" w:hanging="360"/>
      </w:pPr>
      <w:rPr>
        <w:rFonts w:ascii="Times New Roman" w:hAnsi="Times New Roman" w:hint="default"/>
      </w:rPr>
    </w:lvl>
    <w:lvl w:ilvl="2" w:tplc="59BCFE4E" w:tentative="1">
      <w:start w:val="1"/>
      <w:numFmt w:val="bullet"/>
      <w:lvlText w:val="•"/>
      <w:lvlJc w:val="left"/>
      <w:pPr>
        <w:tabs>
          <w:tab w:val="num" w:pos="2160"/>
        </w:tabs>
        <w:ind w:left="2160" w:hanging="360"/>
      </w:pPr>
      <w:rPr>
        <w:rFonts w:ascii="Times New Roman" w:hAnsi="Times New Roman" w:hint="default"/>
      </w:rPr>
    </w:lvl>
    <w:lvl w:ilvl="3" w:tplc="B1AA51CE" w:tentative="1">
      <w:start w:val="1"/>
      <w:numFmt w:val="bullet"/>
      <w:lvlText w:val="•"/>
      <w:lvlJc w:val="left"/>
      <w:pPr>
        <w:tabs>
          <w:tab w:val="num" w:pos="2880"/>
        </w:tabs>
        <w:ind w:left="2880" w:hanging="360"/>
      </w:pPr>
      <w:rPr>
        <w:rFonts w:ascii="Times New Roman" w:hAnsi="Times New Roman" w:hint="default"/>
      </w:rPr>
    </w:lvl>
    <w:lvl w:ilvl="4" w:tplc="D2CC75B0" w:tentative="1">
      <w:start w:val="1"/>
      <w:numFmt w:val="bullet"/>
      <w:lvlText w:val="•"/>
      <w:lvlJc w:val="left"/>
      <w:pPr>
        <w:tabs>
          <w:tab w:val="num" w:pos="3600"/>
        </w:tabs>
        <w:ind w:left="3600" w:hanging="360"/>
      </w:pPr>
      <w:rPr>
        <w:rFonts w:ascii="Times New Roman" w:hAnsi="Times New Roman" w:hint="default"/>
      </w:rPr>
    </w:lvl>
    <w:lvl w:ilvl="5" w:tplc="72FA85DE" w:tentative="1">
      <w:start w:val="1"/>
      <w:numFmt w:val="bullet"/>
      <w:lvlText w:val="•"/>
      <w:lvlJc w:val="left"/>
      <w:pPr>
        <w:tabs>
          <w:tab w:val="num" w:pos="4320"/>
        </w:tabs>
        <w:ind w:left="4320" w:hanging="360"/>
      </w:pPr>
      <w:rPr>
        <w:rFonts w:ascii="Times New Roman" w:hAnsi="Times New Roman" w:hint="default"/>
      </w:rPr>
    </w:lvl>
    <w:lvl w:ilvl="6" w:tplc="2A0C61C6" w:tentative="1">
      <w:start w:val="1"/>
      <w:numFmt w:val="bullet"/>
      <w:lvlText w:val="•"/>
      <w:lvlJc w:val="left"/>
      <w:pPr>
        <w:tabs>
          <w:tab w:val="num" w:pos="5040"/>
        </w:tabs>
        <w:ind w:left="5040" w:hanging="360"/>
      </w:pPr>
      <w:rPr>
        <w:rFonts w:ascii="Times New Roman" w:hAnsi="Times New Roman" w:hint="default"/>
      </w:rPr>
    </w:lvl>
    <w:lvl w:ilvl="7" w:tplc="4A5E8A94" w:tentative="1">
      <w:start w:val="1"/>
      <w:numFmt w:val="bullet"/>
      <w:lvlText w:val="•"/>
      <w:lvlJc w:val="left"/>
      <w:pPr>
        <w:tabs>
          <w:tab w:val="num" w:pos="5760"/>
        </w:tabs>
        <w:ind w:left="5760" w:hanging="360"/>
      </w:pPr>
      <w:rPr>
        <w:rFonts w:ascii="Times New Roman" w:hAnsi="Times New Roman" w:hint="default"/>
      </w:rPr>
    </w:lvl>
    <w:lvl w:ilvl="8" w:tplc="B13253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03464E"/>
    <w:multiLevelType w:val="multilevel"/>
    <w:tmpl w:val="D47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F5A8C"/>
    <w:multiLevelType w:val="multilevel"/>
    <w:tmpl w:val="E4E4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F1446"/>
    <w:multiLevelType w:val="hybridMultilevel"/>
    <w:tmpl w:val="F356F3BC"/>
    <w:lvl w:ilvl="0" w:tplc="4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C3759"/>
    <w:multiLevelType w:val="hybridMultilevel"/>
    <w:tmpl w:val="A76A0AAC"/>
    <w:lvl w:ilvl="0" w:tplc="93B62F1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FB76CF"/>
    <w:multiLevelType w:val="hybridMultilevel"/>
    <w:tmpl w:val="55F4D1E8"/>
    <w:lvl w:ilvl="0" w:tplc="607CF750">
      <w:start w:val="8"/>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74B4BB6"/>
    <w:multiLevelType w:val="hybridMultilevel"/>
    <w:tmpl w:val="2C0E9192"/>
    <w:lvl w:ilvl="0" w:tplc="0409000F">
      <w:start w:val="1"/>
      <w:numFmt w:val="decimal"/>
      <w:pStyle w:val="ADICReference"/>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A085C18"/>
    <w:multiLevelType w:val="hybridMultilevel"/>
    <w:tmpl w:val="B57CCA8E"/>
    <w:lvl w:ilvl="0" w:tplc="217CEF0C">
      <w:start w:val="1"/>
      <w:numFmt w:val="bullet"/>
      <w:lvlText w:val="•"/>
      <w:lvlJc w:val="left"/>
      <w:pPr>
        <w:tabs>
          <w:tab w:val="num" w:pos="720"/>
        </w:tabs>
        <w:ind w:left="720" w:hanging="360"/>
      </w:pPr>
      <w:rPr>
        <w:rFonts w:ascii="Times New Roman" w:hAnsi="Times New Roman" w:hint="default"/>
      </w:rPr>
    </w:lvl>
    <w:lvl w:ilvl="1" w:tplc="2E164C4E" w:tentative="1">
      <w:start w:val="1"/>
      <w:numFmt w:val="bullet"/>
      <w:lvlText w:val="•"/>
      <w:lvlJc w:val="left"/>
      <w:pPr>
        <w:tabs>
          <w:tab w:val="num" w:pos="1440"/>
        </w:tabs>
        <w:ind w:left="1440" w:hanging="360"/>
      </w:pPr>
      <w:rPr>
        <w:rFonts w:ascii="Times New Roman" w:hAnsi="Times New Roman" w:hint="default"/>
      </w:rPr>
    </w:lvl>
    <w:lvl w:ilvl="2" w:tplc="CCA808B6" w:tentative="1">
      <w:start w:val="1"/>
      <w:numFmt w:val="bullet"/>
      <w:lvlText w:val="•"/>
      <w:lvlJc w:val="left"/>
      <w:pPr>
        <w:tabs>
          <w:tab w:val="num" w:pos="2160"/>
        </w:tabs>
        <w:ind w:left="2160" w:hanging="360"/>
      </w:pPr>
      <w:rPr>
        <w:rFonts w:ascii="Times New Roman" w:hAnsi="Times New Roman" w:hint="default"/>
      </w:rPr>
    </w:lvl>
    <w:lvl w:ilvl="3" w:tplc="7298C820" w:tentative="1">
      <w:start w:val="1"/>
      <w:numFmt w:val="bullet"/>
      <w:lvlText w:val="•"/>
      <w:lvlJc w:val="left"/>
      <w:pPr>
        <w:tabs>
          <w:tab w:val="num" w:pos="2880"/>
        </w:tabs>
        <w:ind w:left="2880" w:hanging="360"/>
      </w:pPr>
      <w:rPr>
        <w:rFonts w:ascii="Times New Roman" w:hAnsi="Times New Roman" w:hint="default"/>
      </w:rPr>
    </w:lvl>
    <w:lvl w:ilvl="4" w:tplc="F4CE34E6" w:tentative="1">
      <w:start w:val="1"/>
      <w:numFmt w:val="bullet"/>
      <w:lvlText w:val="•"/>
      <w:lvlJc w:val="left"/>
      <w:pPr>
        <w:tabs>
          <w:tab w:val="num" w:pos="3600"/>
        </w:tabs>
        <w:ind w:left="3600" w:hanging="360"/>
      </w:pPr>
      <w:rPr>
        <w:rFonts w:ascii="Times New Roman" w:hAnsi="Times New Roman" w:hint="default"/>
      </w:rPr>
    </w:lvl>
    <w:lvl w:ilvl="5" w:tplc="E8AA6DDA" w:tentative="1">
      <w:start w:val="1"/>
      <w:numFmt w:val="bullet"/>
      <w:lvlText w:val="•"/>
      <w:lvlJc w:val="left"/>
      <w:pPr>
        <w:tabs>
          <w:tab w:val="num" w:pos="4320"/>
        </w:tabs>
        <w:ind w:left="4320" w:hanging="360"/>
      </w:pPr>
      <w:rPr>
        <w:rFonts w:ascii="Times New Roman" w:hAnsi="Times New Roman" w:hint="default"/>
      </w:rPr>
    </w:lvl>
    <w:lvl w:ilvl="6" w:tplc="DDEC2C94" w:tentative="1">
      <w:start w:val="1"/>
      <w:numFmt w:val="bullet"/>
      <w:lvlText w:val="•"/>
      <w:lvlJc w:val="left"/>
      <w:pPr>
        <w:tabs>
          <w:tab w:val="num" w:pos="5040"/>
        </w:tabs>
        <w:ind w:left="5040" w:hanging="360"/>
      </w:pPr>
      <w:rPr>
        <w:rFonts w:ascii="Times New Roman" w:hAnsi="Times New Roman" w:hint="default"/>
      </w:rPr>
    </w:lvl>
    <w:lvl w:ilvl="7" w:tplc="809A04F4" w:tentative="1">
      <w:start w:val="1"/>
      <w:numFmt w:val="bullet"/>
      <w:lvlText w:val="•"/>
      <w:lvlJc w:val="left"/>
      <w:pPr>
        <w:tabs>
          <w:tab w:val="num" w:pos="5760"/>
        </w:tabs>
        <w:ind w:left="5760" w:hanging="360"/>
      </w:pPr>
      <w:rPr>
        <w:rFonts w:ascii="Times New Roman" w:hAnsi="Times New Roman" w:hint="default"/>
      </w:rPr>
    </w:lvl>
    <w:lvl w:ilvl="8" w:tplc="56ECFF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2EE319C"/>
    <w:multiLevelType w:val="multilevel"/>
    <w:tmpl w:val="EB34A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5C538D1"/>
    <w:multiLevelType w:val="hybridMultilevel"/>
    <w:tmpl w:val="F17E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81805"/>
    <w:multiLevelType w:val="hybridMultilevel"/>
    <w:tmpl w:val="8C4CE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A63BF"/>
    <w:multiLevelType w:val="hybridMultilevel"/>
    <w:tmpl w:val="B0D4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A6214"/>
    <w:multiLevelType w:val="multilevel"/>
    <w:tmpl w:val="C2606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7B00925"/>
    <w:multiLevelType w:val="hybridMultilevel"/>
    <w:tmpl w:val="0152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5"/>
  </w:num>
  <w:num w:numId="5">
    <w:abstractNumId w:val="3"/>
  </w:num>
  <w:num w:numId="6">
    <w:abstractNumId w:val="2"/>
  </w:num>
  <w:num w:numId="7">
    <w:abstractNumId w:val="9"/>
  </w:num>
  <w:num w:numId="8">
    <w:abstractNumId w:val="13"/>
  </w:num>
  <w:num w:numId="9">
    <w:abstractNumId w:val="14"/>
  </w:num>
  <w:num w:numId="10">
    <w:abstractNumId w:val="1"/>
  </w:num>
  <w:num w:numId="11">
    <w:abstractNumId w:val="15"/>
  </w:num>
  <w:num w:numId="12">
    <w:abstractNumId w:val="11"/>
  </w:num>
  <w:num w:numId="13">
    <w:abstractNumId w:val="0"/>
  </w:num>
  <w:num w:numId="14">
    <w:abstractNumId w:val="4"/>
  </w:num>
  <w:num w:numId="15">
    <w:abstractNumId w:val="6"/>
  </w:num>
  <w:num w:numId="1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stylePaneFormatFilter w:val="5025"/>
  <w:defaultTabStop w:val="720"/>
  <w:evenAndOddHeaders/>
  <w:drawingGridHorizontalSpacing w:val="110"/>
  <w:displayHorizontalDrawingGridEvery w:val="2"/>
  <w:characterSpacingControl w:val="doNotCompress"/>
  <w:savePreviewPicture/>
  <w:hdrShapeDefaults>
    <o:shapedefaults v:ext="edit" spidmax="5122"/>
    <o:shapelayout v:ext="edit">
      <o:idmap v:ext="edit" data="4"/>
    </o:shapelayout>
  </w:hdrShapeDefaults>
  <w:footnotePr>
    <w:numRestart w:val="eachSect"/>
    <w:footnote w:id="0"/>
    <w:footnote w:id="1"/>
  </w:footnotePr>
  <w:endnotePr>
    <w:numFmt w:val="decimal"/>
    <w:numRestart w:val="eachSect"/>
    <w:endnote w:id="0"/>
    <w:endnote w:id="1"/>
  </w:endnotePr>
  <w:compat>
    <w:useFELayout/>
  </w:compat>
  <w:docVars>
    <w:docVar w:name="__Grammarly_42____i" w:val="H4sIAAAAAAAEAKtWckksSQxILCpxzi/NK1GyMqwFAAEhoTITAAAA"/>
    <w:docVar w:name="__Grammarly_42___1" w:val="H4sIAAAAAAAEAKtWcslP9kxRslIyNDYyNzYwMTYxsAQiSyNLUyUdpeDU4uLM/DyQAsNaAL6ke1Es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adsxwt5pww9ievzslp5zdf9t05sext2t5r&quot;&gt;My Library&lt;record-ids&gt;&lt;item&gt;2&lt;/item&gt;&lt;item&gt;248&lt;/item&gt;&lt;item&gt;583&lt;/item&gt;&lt;item&gt;595&lt;/item&gt;&lt;item&gt;826&lt;/item&gt;&lt;item&gt;973&lt;/item&gt;&lt;item&gt;1009&lt;/item&gt;&lt;item&gt;1025&lt;/item&gt;&lt;/record-ids&gt;&lt;/item&gt;&lt;/Libraries&gt;"/>
  </w:docVars>
  <w:rsids>
    <w:rsidRoot w:val="005975B7"/>
    <w:rsid w:val="00006487"/>
    <w:rsid w:val="00013584"/>
    <w:rsid w:val="000220E0"/>
    <w:rsid w:val="00024052"/>
    <w:rsid w:val="00030AB3"/>
    <w:rsid w:val="00031E83"/>
    <w:rsid w:val="0004124F"/>
    <w:rsid w:val="00041BC1"/>
    <w:rsid w:val="00044568"/>
    <w:rsid w:val="00047322"/>
    <w:rsid w:val="00052363"/>
    <w:rsid w:val="0005629E"/>
    <w:rsid w:val="00057314"/>
    <w:rsid w:val="000666BE"/>
    <w:rsid w:val="00071F9B"/>
    <w:rsid w:val="00074A53"/>
    <w:rsid w:val="000766CB"/>
    <w:rsid w:val="00080342"/>
    <w:rsid w:val="00081350"/>
    <w:rsid w:val="000814E6"/>
    <w:rsid w:val="000845FB"/>
    <w:rsid w:val="000879D3"/>
    <w:rsid w:val="000930D0"/>
    <w:rsid w:val="00093347"/>
    <w:rsid w:val="00093A51"/>
    <w:rsid w:val="00096261"/>
    <w:rsid w:val="000962A4"/>
    <w:rsid w:val="000A10E7"/>
    <w:rsid w:val="000A235C"/>
    <w:rsid w:val="000A36EF"/>
    <w:rsid w:val="000A6B77"/>
    <w:rsid w:val="000B0133"/>
    <w:rsid w:val="000B256C"/>
    <w:rsid w:val="000B5294"/>
    <w:rsid w:val="000B5C4F"/>
    <w:rsid w:val="000B69D5"/>
    <w:rsid w:val="000B78D3"/>
    <w:rsid w:val="000C069F"/>
    <w:rsid w:val="000C2011"/>
    <w:rsid w:val="000C7537"/>
    <w:rsid w:val="000E1619"/>
    <w:rsid w:val="000E2747"/>
    <w:rsid w:val="000F0C88"/>
    <w:rsid w:val="000F37AB"/>
    <w:rsid w:val="000F631D"/>
    <w:rsid w:val="000F6C58"/>
    <w:rsid w:val="000F7F57"/>
    <w:rsid w:val="0010018B"/>
    <w:rsid w:val="0010267D"/>
    <w:rsid w:val="00104CC4"/>
    <w:rsid w:val="001110BF"/>
    <w:rsid w:val="00112865"/>
    <w:rsid w:val="00113AF1"/>
    <w:rsid w:val="00115A12"/>
    <w:rsid w:val="00116CCF"/>
    <w:rsid w:val="001268F0"/>
    <w:rsid w:val="0013006C"/>
    <w:rsid w:val="001303F5"/>
    <w:rsid w:val="00133420"/>
    <w:rsid w:val="001426E2"/>
    <w:rsid w:val="001428EC"/>
    <w:rsid w:val="0014393B"/>
    <w:rsid w:val="001453E5"/>
    <w:rsid w:val="001545FC"/>
    <w:rsid w:val="00154DAE"/>
    <w:rsid w:val="00156E5B"/>
    <w:rsid w:val="00161B48"/>
    <w:rsid w:val="001747C4"/>
    <w:rsid w:val="0018117B"/>
    <w:rsid w:val="0018270D"/>
    <w:rsid w:val="00185FCF"/>
    <w:rsid w:val="00190CF5"/>
    <w:rsid w:val="0019750E"/>
    <w:rsid w:val="001A0AD6"/>
    <w:rsid w:val="001A4881"/>
    <w:rsid w:val="001C0FC0"/>
    <w:rsid w:val="001C3CB8"/>
    <w:rsid w:val="001C4917"/>
    <w:rsid w:val="001C6841"/>
    <w:rsid w:val="001D5007"/>
    <w:rsid w:val="001D5282"/>
    <w:rsid w:val="001E09C7"/>
    <w:rsid w:val="001E62A5"/>
    <w:rsid w:val="001E7BD9"/>
    <w:rsid w:val="001F1417"/>
    <w:rsid w:val="001F4D2E"/>
    <w:rsid w:val="001F6C67"/>
    <w:rsid w:val="00201D8A"/>
    <w:rsid w:val="002029D9"/>
    <w:rsid w:val="00204D84"/>
    <w:rsid w:val="00207E7F"/>
    <w:rsid w:val="00210575"/>
    <w:rsid w:val="00221BFE"/>
    <w:rsid w:val="00222DE0"/>
    <w:rsid w:val="00224EDE"/>
    <w:rsid w:val="00225ED8"/>
    <w:rsid w:val="002349F0"/>
    <w:rsid w:val="00235D0F"/>
    <w:rsid w:val="00240844"/>
    <w:rsid w:val="002435F6"/>
    <w:rsid w:val="00246264"/>
    <w:rsid w:val="00247756"/>
    <w:rsid w:val="00247C9B"/>
    <w:rsid w:val="002529C7"/>
    <w:rsid w:val="00257173"/>
    <w:rsid w:val="002640F1"/>
    <w:rsid w:val="002772FD"/>
    <w:rsid w:val="00280B82"/>
    <w:rsid w:val="002820FF"/>
    <w:rsid w:val="00284D40"/>
    <w:rsid w:val="0029237C"/>
    <w:rsid w:val="00292B88"/>
    <w:rsid w:val="002A4B3F"/>
    <w:rsid w:val="002A6874"/>
    <w:rsid w:val="002A76F7"/>
    <w:rsid w:val="002B0123"/>
    <w:rsid w:val="002B1043"/>
    <w:rsid w:val="002B5528"/>
    <w:rsid w:val="002C0148"/>
    <w:rsid w:val="002C048F"/>
    <w:rsid w:val="002C0BD5"/>
    <w:rsid w:val="002C1D87"/>
    <w:rsid w:val="002C3BBA"/>
    <w:rsid w:val="002C795F"/>
    <w:rsid w:val="002D3452"/>
    <w:rsid w:val="002D3C72"/>
    <w:rsid w:val="002D4343"/>
    <w:rsid w:val="002D5CC1"/>
    <w:rsid w:val="002D7759"/>
    <w:rsid w:val="002E1861"/>
    <w:rsid w:val="002E2192"/>
    <w:rsid w:val="002E4599"/>
    <w:rsid w:val="002E4D42"/>
    <w:rsid w:val="002E77D1"/>
    <w:rsid w:val="002E7DE0"/>
    <w:rsid w:val="00300E13"/>
    <w:rsid w:val="00304000"/>
    <w:rsid w:val="00304BB0"/>
    <w:rsid w:val="0030651E"/>
    <w:rsid w:val="0030748D"/>
    <w:rsid w:val="003101AB"/>
    <w:rsid w:val="0031373B"/>
    <w:rsid w:val="00313CBF"/>
    <w:rsid w:val="00317E49"/>
    <w:rsid w:val="00317FEE"/>
    <w:rsid w:val="00320B2E"/>
    <w:rsid w:val="00330496"/>
    <w:rsid w:val="0033069A"/>
    <w:rsid w:val="00341ADE"/>
    <w:rsid w:val="00341BE7"/>
    <w:rsid w:val="0034319E"/>
    <w:rsid w:val="00343288"/>
    <w:rsid w:val="00344D80"/>
    <w:rsid w:val="003452E9"/>
    <w:rsid w:val="00351046"/>
    <w:rsid w:val="00351E5B"/>
    <w:rsid w:val="00357BE6"/>
    <w:rsid w:val="00362246"/>
    <w:rsid w:val="00380E66"/>
    <w:rsid w:val="00383282"/>
    <w:rsid w:val="0038622C"/>
    <w:rsid w:val="003931B4"/>
    <w:rsid w:val="003A10DF"/>
    <w:rsid w:val="003A12AA"/>
    <w:rsid w:val="003A1DFB"/>
    <w:rsid w:val="003B2254"/>
    <w:rsid w:val="003B2B65"/>
    <w:rsid w:val="003B2BF8"/>
    <w:rsid w:val="003B7201"/>
    <w:rsid w:val="003D5990"/>
    <w:rsid w:val="003E0C7C"/>
    <w:rsid w:val="003E6F93"/>
    <w:rsid w:val="003F2933"/>
    <w:rsid w:val="003F3531"/>
    <w:rsid w:val="003F5A51"/>
    <w:rsid w:val="003F7E5A"/>
    <w:rsid w:val="00403D8B"/>
    <w:rsid w:val="004078D4"/>
    <w:rsid w:val="004120F8"/>
    <w:rsid w:val="00416B17"/>
    <w:rsid w:val="004176B8"/>
    <w:rsid w:val="0041779C"/>
    <w:rsid w:val="00421E8A"/>
    <w:rsid w:val="00427C97"/>
    <w:rsid w:val="00431098"/>
    <w:rsid w:val="00437284"/>
    <w:rsid w:val="004425C8"/>
    <w:rsid w:val="004450D6"/>
    <w:rsid w:val="00446BE4"/>
    <w:rsid w:val="00451429"/>
    <w:rsid w:val="004538E5"/>
    <w:rsid w:val="00454FE2"/>
    <w:rsid w:val="00456797"/>
    <w:rsid w:val="00460C7D"/>
    <w:rsid w:val="00466377"/>
    <w:rsid w:val="00466A7F"/>
    <w:rsid w:val="004751E6"/>
    <w:rsid w:val="00475E04"/>
    <w:rsid w:val="004760B8"/>
    <w:rsid w:val="00481212"/>
    <w:rsid w:val="004830C0"/>
    <w:rsid w:val="00484A65"/>
    <w:rsid w:val="0048519F"/>
    <w:rsid w:val="00486339"/>
    <w:rsid w:val="00492875"/>
    <w:rsid w:val="00493770"/>
    <w:rsid w:val="0049422D"/>
    <w:rsid w:val="004959DD"/>
    <w:rsid w:val="00496918"/>
    <w:rsid w:val="00497050"/>
    <w:rsid w:val="004A18FB"/>
    <w:rsid w:val="004A2571"/>
    <w:rsid w:val="004A2705"/>
    <w:rsid w:val="004A6CE9"/>
    <w:rsid w:val="004A759F"/>
    <w:rsid w:val="004B065D"/>
    <w:rsid w:val="004B089E"/>
    <w:rsid w:val="004B0AB3"/>
    <w:rsid w:val="004B2A8A"/>
    <w:rsid w:val="004B5EE7"/>
    <w:rsid w:val="004C1786"/>
    <w:rsid w:val="004C2822"/>
    <w:rsid w:val="004C3EBE"/>
    <w:rsid w:val="004C5A16"/>
    <w:rsid w:val="004C7F60"/>
    <w:rsid w:val="004D139A"/>
    <w:rsid w:val="004D2F9A"/>
    <w:rsid w:val="004D6462"/>
    <w:rsid w:val="004D76CF"/>
    <w:rsid w:val="004E0324"/>
    <w:rsid w:val="004E04A6"/>
    <w:rsid w:val="004E582C"/>
    <w:rsid w:val="004E59AB"/>
    <w:rsid w:val="004E647D"/>
    <w:rsid w:val="004F0F66"/>
    <w:rsid w:val="004F524C"/>
    <w:rsid w:val="00500D5E"/>
    <w:rsid w:val="005069D4"/>
    <w:rsid w:val="00510160"/>
    <w:rsid w:val="0051301F"/>
    <w:rsid w:val="00513F55"/>
    <w:rsid w:val="00517AB7"/>
    <w:rsid w:val="00522060"/>
    <w:rsid w:val="00524509"/>
    <w:rsid w:val="005250A4"/>
    <w:rsid w:val="00525337"/>
    <w:rsid w:val="00525A7E"/>
    <w:rsid w:val="005428E5"/>
    <w:rsid w:val="005433A2"/>
    <w:rsid w:val="005529E0"/>
    <w:rsid w:val="0055436A"/>
    <w:rsid w:val="005553AC"/>
    <w:rsid w:val="005568FC"/>
    <w:rsid w:val="0056083D"/>
    <w:rsid w:val="0056254A"/>
    <w:rsid w:val="005672DA"/>
    <w:rsid w:val="00580C3D"/>
    <w:rsid w:val="0058167B"/>
    <w:rsid w:val="00585A48"/>
    <w:rsid w:val="00592271"/>
    <w:rsid w:val="00596800"/>
    <w:rsid w:val="005975B7"/>
    <w:rsid w:val="005978EB"/>
    <w:rsid w:val="005A14F1"/>
    <w:rsid w:val="005A3898"/>
    <w:rsid w:val="005A436A"/>
    <w:rsid w:val="005A44E6"/>
    <w:rsid w:val="005A7AC8"/>
    <w:rsid w:val="005B0B15"/>
    <w:rsid w:val="005B545F"/>
    <w:rsid w:val="005C1883"/>
    <w:rsid w:val="005C3E0E"/>
    <w:rsid w:val="005C5932"/>
    <w:rsid w:val="005C669C"/>
    <w:rsid w:val="005C73F0"/>
    <w:rsid w:val="005D0B1A"/>
    <w:rsid w:val="005D23AE"/>
    <w:rsid w:val="005D2625"/>
    <w:rsid w:val="005D4F13"/>
    <w:rsid w:val="005E24D6"/>
    <w:rsid w:val="005E2914"/>
    <w:rsid w:val="005E4E81"/>
    <w:rsid w:val="005E71BE"/>
    <w:rsid w:val="005F0154"/>
    <w:rsid w:val="005F0C34"/>
    <w:rsid w:val="005F195B"/>
    <w:rsid w:val="005F7968"/>
    <w:rsid w:val="00600206"/>
    <w:rsid w:val="006043C2"/>
    <w:rsid w:val="00604EB9"/>
    <w:rsid w:val="00605276"/>
    <w:rsid w:val="00605308"/>
    <w:rsid w:val="00607D5C"/>
    <w:rsid w:val="00616B94"/>
    <w:rsid w:val="0062127E"/>
    <w:rsid w:val="00623529"/>
    <w:rsid w:val="0063007C"/>
    <w:rsid w:val="00631CDD"/>
    <w:rsid w:val="006369A5"/>
    <w:rsid w:val="0063751C"/>
    <w:rsid w:val="00640392"/>
    <w:rsid w:val="00641A7E"/>
    <w:rsid w:val="00645AE7"/>
    <w:rsid w:val="00646904"/>
    <w:rsid w:val="006469C3"/>
    <w:rsid w:val="00654224"/>
    <w:rsid w:val="00654DE1"/>
    <w:rsid w:val="00660A50"/>
    <w:rsid w:val="00662B85"/>
    <w:rsid w:val="0066503C"/>
    <w:rsid w:val="00674AA9"/>
    <w:rsid w:val="00684819"/>
    <w:rsid w:val="006850E9"/>
    <w:rsid w:val="006872D2"/>
    <w:rsid w:val="00690040"/>
    <w:rsid w:val="006B0496"/>
    <w:rsid w:val="006B5427"/>
    <w:rsid w:val="006B67C1"/>
    <w:rsid w:val="006B6FEA"/>
    <w:rsid w:val="006B78FD"/>
    <w:rsid w:val="006C0325"/>
    <w:rsid w:val="006C1E49"/>
    <w:rsid w:val="006C23C5"/>
    <w:rsid w:val="006C2E70"/>
    <w:rsid w:val="006C559E"/>
    <w:rsid w:val="006C5FB9"/>
    <w:rsid w:val="006D640A"/>
    <w:rsid w:val="006E0A45"/>
    <w:rsid w:val="006E592A"/>
    <w:rsid w:val="006E5CFF"/>
    <w:rsid w:val="006E65B2"/>
    <w:rsid w:val="006E771A"/>
    <w:rsid w:val="006E776C"/>
    <w:rsid w:val="006F58AF"/>
    <w:rsid w:val="006F5DF5"/>
    <w:rsid w:val="00701C78"/>
    <w:rsid w:val="00704C14"/>
    <w:rsid w:val="007052E5"/>
    <w:rsid w:val="00705462"/>
    <w:rsid w:val="00716DBF"/>
    <w:rsid w:val="00717919"/>
    <w:rsid w:val="00721F60"/>
    <w:rsid w:val="00722C84"/>
    <w:rsid w:val="007233BD"/>
    <w:rsid w:val="00723712"/>
    <w:rsid w:val="00724553"/>
    <w:rsid w:val="0072472A"/>
    <w:rsid w:val="00724A2E"/>
    <w:rsid w:val="007258F1"/>
    <w:rsid w:val="00726B68"/>
    <w:rsid w:val="00740953"/>
    <w:rsid w:val="00743DAC"/>
    <w:rsid w:val="00747037"/>
    <w:rsid w:val="00751F12"/>
    <w:rsid w:val="00752AA3"/>
    <w:rsid w:val="007576EA"/>
    <w:rsid w:val="00757F67"/>
    <w:rsid w:val="007605C4"/>
    <w:rsid w:val="00762652"/>
    <w:rsid w:val="00763C63"/>
    <w:rsid w:val="00770457"/>
    <w:rsid w:val="007712D9"/>
    <w:rsid w:val="00771AF4"/>
    <w:rsid w:val="00775F61"/>
    <w:rsid w:val="00777882"/>
    <w:rsid w:val="00777FA3"/>
    <w:rsid w:val="007837B6"/>
    <w:rsid w:val="007853A9"/>
    <w:rsid w:val="00787D6D"/>
    <w:rsid w:val="00790906"/>
    <w:rsid w:val="0079316F"/>
    <w:rsid w:val="007A32E0"/>
    <w:rsid w:val="007B111D"/>
    <w:rsid w:val="007B119E"/>
    <w:rsid w:val="007B1D3E"/>
    <w:rsid w:val="007B20B3"/>
    <w:rsid w:val="007B3027"/>
    <w:rsid w:val="007B403F"/>
    <w:rsid w:val="007B50C0"/>
    <w:rsid w:val="007B5A45"/>
    <w:rsid w:val="007C29D7"/>
    <w:rsid w:val="007C3CD9"/>
    <w:rsid w:val="007C4F5B"/>
    <w:rsid w:val="007D1C92"/>
    <w:rsid w:val="007D4B89"/>
    <w:rsid w:val="007E3633"/>
    <w:rsid w:val="007F0975"/>
    <w:rsid w:val="007F28C3"/>
    <w:rsid w:val="007F5EB5"/>
    <w:rsid w:val="00804C86"/>
    <w:rsid w:val="00810B25"/>
    <w:rsid w:val="00812105"/>
    <w:rsid w:val="0081614F"/>
    <w:rsid w:val="00817D90"/>
    <w:rsid w:val="00820097"/>
    <w:rsid w:val="00820C7A"/>
    <w:rsid w:val="00821820"/>
    <w:rsid w:val="00822ECF"/>
    <w:rsid w:val="008268EB"/>
    <w:rsid w:val="00830C47"/>
    <w:rsid w:val="00840337"/>
    <w:rsid w:val="0084090B"/>
    <w:rsid w:val="00840C33"/>
    <w:rsid w:val="00842EAB"/>
    <w:rsid w:val="0084359D"/>
    <w:rsid w:val="008568EF"/>
    <w:rsid w:val="00860860"/>
    <w:rsid w:val="008621D7"/>
    <w:rsid w:val="00864FDC"/>
    <w:rsid w:val="008665FF"/>
    <w:rsid w:val="00867331"/>
    <w:rsid w:val="00867893"/>
    <w:rsid w:val="008704C6"/>
    <w:rsid w:val="0087097C"/>
    <w:rsid w:val="008728AA"/>
    <w:rsid w:val="00877BA7"/>
    <w:rsid w:val="008809A3"/>
    <w:rsid w:val="008872E2"/>
    <w:rsid w:val="00887D78"/>
    <w:rsid w:val="0089626D"/>
    <w:rsid w:val="008A12E2"/>
    <w:rsid w:val="008A2BE4"/>
    <w:rsid w:val="008A33BA"/>
    <w:rsid w:val="008B0622"/>
    <w:rsid w:val="008B09D5"/>
    <w:rsid w:val="008B3192"/>
    <w:rsid w:val="008B551A"/>
    <w:rsid w:val="008B5723"/>
    <w:rsid w:val="008B61F0"/>
    <w:rsid w:val="008C3E2F"/>
    <w:rsid w:val="008C3E3C"/>
    <w:rsid w:val="008C49C4"/>
    <w:rsid w:val="008C69E3"/>
    <w:rsid w:val="008D005E"/>
    <w:rsid w:val="008D02D6"/>
    <w:rsid w:val="008D30D7"/>
    <w:rsid w:val="008D3AB8"/>
    <w:rsid w:val="008E25A6"/>
    <w:rsid w:val="008E292B"/>
    <w:rsid w:val="008E3739"/>
    <w:rsid w:val="008E4E9C"/>
    <w:rsid w:val="008E6977"/>
    <w:rsid w:val="008E6FF2"/>
    <w:rsid w:val="008F087F"/>
    <w:rsid w:val="008F32F6"/>
    <w:rsid w:val="008F4C51"/>
    <w:rsid w:val="009009FA"/>
    <w:rsid w:val="0090113D"/>
    <w:rsid w:val="00903C7B"/>
    <w:rsid w:val="00904CDC"/>
    <w:rsid w:val="00904D4F"/>
    <w:rsid w:val="00905A16"/>
    <w:rsid w:val="00907340"/>
    <w:rsid w:val="00910401"/>
    <w:rsid w:val="00910E71"/>
    <w:rsid w:val="0091240D"/>
    <w:rsid w:val="009137FA"/>
    <w:rsid w:val="009203E2"/>
    <w:rsid w:val="0092062C"/>
    <w:rsid w:val="0092067F"/>
    <w:rsid w:val="00930286"/>
    <w:rsid w:val="00932F92"/>
    <w:rsid w:val="0093715C"/>
    <w:rsid w:val="00937874"/>
    <w:rsid w:val="00941B45"/>
    <w:rsid w:val="00945B52"/>
    <w:rsid w:val="00955E19"/>
    <w:rsid w:val="009574BB"/>
    <w:rsid w:val="00957905"/>
    <w:rsid w:val="00964074"/>
    <w:rsid w:val="00970758"/>
    <w:rsid w:val="009800E2"/>
    <w:rsid w:val="00984C75"/>
    <w:rsid w:val="00987B52"/>
    <w:rsid w:val="00990CF3"/>
    <w:rsid w:val="009942F0"/>
    <w:rsid w:val="0099705F"/>
    <w:rsid w:val="009A2A94"/>
    <w:rsid w:val="009A2DFF"/>
    <w:rsid w:val="009B1A0F"/>
    <w:rsid w:val="009B2F3F"/>
    <w:rsid w:val="009B715C"/>
    <w:rsid w:val="009C257C"/>
    <w:rsid w:val="009C5C33"/>
    <w:rsid w:val="009D00F6"/>
    <w:rsid w:val="009D4075"/>
    <w:rsid w:val="009D6238"/>
    <w:rsid w:val="009D650D"/>
    <w:rsid w:val="009F0031"/>
    <w:rsid w:val="009F1306"/>
    <w:rsid w:val="009F2CFF"/>
    <w:rsid w:val="009F3283"/>
    <w:rsid w:val="00A039FF"/>
    <w:rsid w:val="00A11C7F"/>
    <w:rsid w:val="00A3324B"/>
    <w:rsid w:val="00A3409F"/>
    <w:rsid w:val="00A42CF1"/>
    <w:rsid w:val="00A42EAB"/>
    <w:rsid w:val="00A440C2"/>
    <w:rsid w:val="00A47820"/>
    <w:rsid w:val="00A478B0"/>
    <w:rsid w:val="00A54456"/>
    <w:rsid w:val="00A57E7F"/>
    <w:rsid w:val="00A63CA6"/>
    <w:rsid w:val="00A64AB4"/>
    <w:rsid w:val="00A65809"/>
    <w:rsid w:val="00A7362A"/>
    <w:rsid w:val="00A741B6"/>
    <w:rsid w:val="00A75C97"/>
    <w:rsid w:val="00A772E4"/>
    <w:rsid w:val="00A82CC5"/>
    <w:rsid w:val="00A83582"/>
    <w:rsid w:val="00A83E9B"/>
    <w:rsid w:val="00A936B1"/>
    <w:rsid w:val="00A97571"/>
    <w:rsid w:val="00AA2BDC"/>
    <w:rsid w:val="00AA43BC"/>
    <w:rsid w:val="00AA6B83"/>
    <w:rsid w:val="00AA7B78"/>
    <w:rsid w:val="00AB30FF"/>
    <w:rsid w:val="00AB65C2"/>
    <w:rsid w:val="00AC1FA8"/>
    <w:rsid w:val="00AE113D"/>
    <w:rsid w:val="00AE1ADF"/>
    <w:rsid w:val="00AE280D"/>
    <w:rsid w:val="00AE2E65"/>
    <w:rsid w:val="00AE3161"/>
    <w:rsid w:val="00AE3FBE"/>
    <w:rsid w:val="00AE46FE"/>
    <w:rsid w:val="00AE4B16"/>
    <w:rsid w:val="00AE4DB7"/>
    <w:rsid w:val="00AF4698"/>
    <w:rsid w:val="00AF4B20"/>
    <w:rsid w:val="00AF5FCE"/>
    <w:rsid w:val="00AF7910"/>
    <w:rsid w:val="00B0190D"/>
    <w:rsid w:val="00B0389E"/>
    <w:rsid w:val="00B04EDF"/>
    <w:rsid w:val="00B066C1"/>
    <w:rsid w:val="00B07379"/>
    <w:rsid w:val="00B134EB"/>
    <w:rsid w:val="00B1701B"/>
    <w:rsid w:val="00B2026B"/>
    <w:rsid w:val="00B21AAC"/>
    <w:rsid w:val="00B2342C"/>
    <w:rsid w:val="00B33930"/>
    <w:rsid w:val="00B344E0"/>
    <w:rsid w:val="00B35CBD"/>
    <w:rsid w:val="00B3656A"/>
    <w:rsid w:val="00B40E22"/>
    <w:rsid w:val="00B43150"/>
    <w:rsid w:val="00B4468C"/>
    <w:rsid w:val="00B44B7D"/>
    <w:rsid w:val="00B47749"/>
    <w:rsid w:val="00B53253"/>
    <w:rsid w:val="00B63767"/>
    <w:rsid w:val="00B65F57"/>
    <w:rsid w:val="00B70B1E"/>
    <w:rsid w:val="00B714F9"/>
    <w:rsid w:val="00B84A2F"/>
    <w:rsid w:val="00B8549F"/>
    <w:rsid w:val="00B8659B"/>
    <w:rsid w:val="00B8766F"/>
    <w:rsid w:val="00B91876"/>
    <w:rsid w:val="00BA5AE6"/>
    <w:rsid w:val="00BB0B1B"/>
    <w:rsid w:val="00BB0BD2"/>
    <w:rsid w:val="00BB3CFA"/>
    <w:rsid w:val="00BB7424"/>
    <w:rsid w:val="00BC47AB"/>
    <w:rsid w:val="00BC4DAE"/>
    <w:rsid w:val="00BC63AF"/>
    <w:rsid w:val="00BD5FE1"/>
    <w:rsid w:val="00BD79EA"/>
    <w:rsid w:val="00BE1135"/>
    <w:rsid w:val="00BE300A"/>
    <w:rsid w:val="00BE79F8"/>
    <w:rsid w:val="00BF2A96"/>
    <w:rsid w:val="00BF3344"/>
    <w:rsid w:val="00BF4D1E"/>
    <w:rsid w:val="00BF6574"/>
    <w:rsid w:val="00C0160B"/>
    <w:rsid w:val="00C021D5"/>
    <w:rsid w:val="00C024E0"/>
    <w:rsid w:val="00C04493"/>
    <w:rsid w:val="00C04E59"/>
    <w:rsid w:val="00C13093"/>
    <w:rsid w:val="00C138B6"/>
    <w:rsid w:val="00C13971"/>
    <w:rsid w:val="00C176A1"/>
    <w:rsid w:val="00C1788D"/>
    <w:rsid w:val="00C230D4"/>
    <w:rsid w:val="00C2366A"/>
    <w:rsid w:val="00C269B1"/>
    <w:rsid w:val="00C30AF1"/>
    <w:rsid w:val="00C3117A"/>
    <w:rsid w:val="00C31980"/>
    <w:rsid w:val="00C411D6"/>
    <w:rsid w:val="00C41A0E"/>
    <w:rsid w:val="00C45CE1"/>
    <w:rsid w:val="00C546E7"/>
    <w:rsid w:val="00C65AC4"/>
    <w:rsid w:val="00C66294"/>
    <w:rsid w:val="00C676E9"/>
    <w:rsid w:val="00C72891"/>
    <w:rsid w:val="00C86142"/>
    <w:rsid w:val="00C86A67"/>
    <w:rsid w:val="00C902E3"/>
    <w:rsid w:val="00C922A3"/>
    <w:rsid w:val="00C9291B"/>
    <w:rsid w:val="00C94BC3"/>
    <w:rsid w:val="00CA0E29"/>
    <w:rsid w:val="00CA1436"/>
    <w:rsid w:val="00CA398D"/>
    <w:rsid w:val="00CA6ABB"/>
    <w:rsid w:val="00CB03F1"/>
    <w:rsid w:val="00CB40FD"/>
    <w:rsid w:val="00CB48D3"/>
    <w:rsid w:val="00CB5CDF"/>
    <w:rsid w:val="00CB5EFC"/>
    <w:rsid w:val="00CC12A7"/>
    <w:rsid w:val="00CC256D"/>
    <w:rsid w:val="00CC38E5"/>
    <w:rsid w:val="00CC4F53"/>
    <w:rsid w:val="00CC65CF"/>
    <w:rsid w:val="00CC6BAA"/>
    <w:rsid w:val="00CC7613"/>
    <w:rsid w:val="00CC7AFA"/>
    <w:rsid w:val="00CD3951"/>
    <w:rsid w:val="00CD405F"/>
    <w:rsid w:val="00CD71B8"/>
    <w:rsid w:val="00CE2E4A"/>
    <w:rsid w:val="00CE6DE1"/>
    <w:rsid w:val="00CF653E"/>
    <w:rsid w:val="00D10D12"/>
    <w:rsid w:val="00D11E27"/>
    <w:rsid w:val="00D2026D"/>
    <w:rsid w:val="00D202CE"/>
    <w:rsid w:val="00D271EC"/>
    <w:rsid w:val="00D325E2"/>
    <w:rsid w:val="00D35C0C"/>
    <w:rsid w:val="00D3632C"/>
    <w:rsid w:val="00D36E44"/>
    <w:rsid w:val="00D37F54"/>
    <w:rsid w:val="00D40C4F"/>
    <w:rsid w:val="00D439A2"/>
    <w:rsid w:val="00D45764"/>
    <w:rsid w:val="00D461F2"/>
    <w:rsid w:val="00D519B0"/>
    <w:rsid w:val="00D54106"/>
    <w:rsid w:val="00D55CE5"/>
    <w:rsid w:val="00D55F4B"/>
    <w:rsid w:val="00D62513"/>
    <w:rsid w:val="00D6396E"/>
    <w:rsid w:val="00D64B5E"/>
    <w:rsid w:val="00D64DE6"/>
    <w:rsid w:val="00D70B57"/>
    <w:rsid w:val="00D715FB"/>
    <w:rsid w:val="00D73935"/>
    <w:rsid w:val="00D74317"/>
    <w:rsid w:val="00D767CD"/>
    <w:rsid w:val="00D810DE"/>
    <w:rsid w:val="00D82386"/>
    <w:rsid w:val="00D82388"/>
    <w:rsid w:val="00D855C0"/>
    <w:rsid w:val="00D93200"/>
    <w:rsid w:val="00D93A78"/>
    <w:rsid w:val="00D973C1"/>
    <w:rsid w:val="00DA0AFE"/>
    <w:rsid w:val="00DA2AFA"/>
    <w:rsid w:val="00DA3E21"/>
    <w:rsid w:val="00DB26AF"/>
    <w:rsid w:val="00DB3D7B"/>
    <w:rsid w:val="00DC146C"/>
    <w:rsid w:val="00DC523A"/>
    <w:rsid w:val="00DC778E"/>
    <w:rsid w:val="00DD1111"/>
    <w:rsid w:val="00DD3FA5"/>
    <w:rsid w:val="00DE07E1"/>
    <w:rsid w:val="00DF2A22"/>
    <w:rsid w:val="00DF2FAE"/>
    <w:rsid w:val="00DF394F"/>
    <w:rsid w:val="00DF43D0"/>
    <w:rsid w:val="00DF77C9"/>
    <w:rsid w:val="00DF780E"/>
    <w:rsid w:val="00E01178"/>
    <w:rsid w:val="00E1320F"/>
    <w:rsid w:val="00E1327C"/>
    <w:rsid w:val="00E14BF8"/>
    <w:rsid w:val="00E2229F"/>
    <w:rsid w:val="00E3004D"/>
    <w:rsid w:val="00E339F9"/>
    <w:rsid w:val="00E42D14"/>
    <w:rsid w:val="00E46008"/>
    <w:rsid w:val="00E529F7"/>
    <w:rsid w:val="00E53EB7"/>
    <w:rsid w:val="00E55593"/>
    <w:rsid w:val="00E614B3"/>
    <w:rsid w:val="00E63D5D"/>
    <w:rsid w:val="00E64D6D"/>
    <w:rsid w:val="00E65492"/>
    <w:rsid w:val="00E67AAC"/>
    <w:rsid w:val="00E7159F"/>
    <w:rsid w:val="00E71C4F"/>
    <w:rsid w:val="00E73F47"/>
    <w:rsid w:val="00E7489E"/>
    <w:rsid w:val="00E768A9"/>
    <w:rsid w:val="00E82482"/>
    <w:rsid w:val="00E84EEC"/>
    <w:rsid w:val="00E8595E"/>
    <w:rsid w:val="00E86705"/>
    <w:rsid w:val="00E8724E"/>
    <w:rsid w:val="00E90CB7"/>
    <w:rsid w:val="00E92113"/>
    <w:rsid w:val="00E95C6C"/>
    <w:rsid w:val="00E962F7"/>
    <w:rsid w:val="00E971C7"/>
    <w:rsid w:val="00EA0967"/>
    <w:rsid w:val="00EA0A01"/>
    <w:rsid w:val="00EA0B4D"/>
    <w:rsid w:val="00EA5931"/>
    <w:rsid w:val="00EB43CB"/>
    <w:rsid w:val="00EB533E"/>
    <w:rsid w:val="00EB6DDD"/>
    <w:rsid w:val="00EB75BF"/>
    <w:rsid w:val="00EC0BE3"/>
    <w:rsid w:val="00EC316B"/>
    <w:rsid w:val="00EC38B0"/>
    <w:rsid w:val="00EC43AA"/>
    <w:rsid w:val="00EC51C5"/>
    <w:rsid w:val="00EC6924"/>
    <w:rsid w:val="00ED37D3"/>
    <w:rsid w:val="00ED4820"/>
    <w:rsid w:val="00ED5863"/>
    <w:rsid w:val="00ED65DF"/>
    <w:rsid w:val="00EE085C"/>
    <w:rsid w:val="00EE7272"/>
    <w:rsid w:val="00EF10A7"/>
    <w:rsid w:val="00EF3802"/>
    <w:rsid w:val="00EF45F1"/>
    <w:rsid w:val="00F01E39"/>
    <w:rsid w:val="00F01E86"/>
    <w:rsid w:val="00F05AAF"/>
    <w:rsid w:val="00F119AC"/>
    <w:rsid w:val="00F17913"/>
    <w:rsid w:val="00F20856"/>
    <w:rsid w:val="00F239F8"/>
    <w:rsid w:val="00F25A6A"/>
    <w:rsid w:val="00F307D8"/>
    <w:rsid w:val="00F31EB4"/>
    <w:rsid w:val="00F33E35"/>
    <w:rsid w:val="00F43B25"/>
    <w:rsid w:val="00F54F06"/>
    <w:rsid w:val="00F55B99"/>
    <w:rsid w:val="00F65119"/>
    <w:rsid w:val="00F73BD2"/>
    <w:rsid w:val="00F74FE6"/>
    <w:rsid w:val="00F75B14"/>
    <w:rsid w:val="00F8272F"/>
    <w:rsid w:val="00F83FD4"/>
    <w:rsid w:val="00F85482"/>
    <w:rsid w:val="00F9229A"/>
    <w:rsid w:val="00F94C96"/>
    <w:rsid w:val="00F955AE"/>
    <w:rsid w:val="00F9679B"/>
    <w:rsid w:val="00FA390F"/>
    <w:rsid w:val="00FA66DB"/>
    <w:rsid w:val="00FB0632"/>
    <w:rsid w:val="00FB5D93"/>
    <w:rsid w:val="00FB6CF8"/>
    <w:rsid w:val="00FC1094"/>
    <w:rsid w:val="00FC4FE7"/>
    <w:rsid w:val="00FC598A"/>
    <w:rsid w:val="00FC5CEF"/>
    <w:rsid w:val="00FE01F2"/>
    <w:rsid w:val="00FE213A"/>
    <w:rsid w:val="00FE3CD8"/>
    <w:rsid w:val="00FE5051"/>
    <w:rsid w:val="00FE6395"/>
    <w:rsid w:val="00FF0EBE"/>
    <w:rsid w:val="00FF5D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endnote reference" w:uiPriority="0"/>
    <w:lsdException w:name="endnote text" w:uiPriority="0"/>
    <w:lsdException w:name="List" w:semiHidden="0" w:unhideWhenUsed="0"/>
    <w:lsdException w:name="List 2" w:semiHidden="0" w:unhideWhenUsed="0"/>
    <w:lsdException w:name="List 3" w:semiHidden="0" w:unhideWhenUsed="0"/>
    <w:lsdException w:name="Title" w:semiHidden="0" w:uiPriority="0" w:unhideWhenUsed="0" w:qFormat="1"/>
    <w:lsdException w:name="Default Paragraph Font" w:uiPriority="1"/>
    <w:lsdException w:name="Body Text Indent" w:uiPriority="0"/>
    <w:lsdException w:name="List Continue 5" w:semiHidden="0" w:unhideWhenUsed="0"/>
    <w:lsdException w:name="Message Header"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E7"/>
  </w:style>
  <w:style w:type="paragraph" w:styleId="Heading1">
    <w:name w:val="heading 1"/>
    <w:basedOn w:val="Normal"/>
    <w:next w:val="Normal"/>
    <w:link w:val="Heading1Char"/>
    <w:uiPriority w:val="9"/>
    <w:qFormat/>
    <w:rsid w:val="00A57E7F"/>
    <w:pPr>
      <w:keepNext/>
      <w:spacing w:before="57" w:after="0" w:line="264" w:lineRule="auto"/>
      <w:jc w:val="both"/>
      <w:outlineLvl w:val="0"/>
    </w:pPr>
    <w:rPr>
      <w:rFonts w:ascii="Calibri" w:hAnsi="Calibri" w:cs="Times New Roman"/>
      <w:b/>
      <w:bCs/>
      <w:w w:val="90"/>
      <w:szCs w:val="20"/>
    </w:rPr>
  </w:style>
  <w:style w:type="paragraph" w:styleId="Heading2">
    <w:name w:val="heading 2"/>
    <w:basedOn w:val="Normal"/>
    <w:next w:val="Normal"/>
    <w:link w:val="Heading2Char"/>
    <w:uiPriority w:val="9"/>
    <w:semiHidden/>
    <w:unhideWhenUsed/>
    <w:qFormat/>
    <w:rsid w:val="00E67AAC"/>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Heading3">
    <w:name w:val="heading 3"/>
    <w:basedOn w:val="Normal"/>
    <w:next w:val="Normal"/>
    <w:link w:val="Heading3Char"/>
    <w:uiPriority w:val="9"/>
    <w:semiHidden/>
    <w:unhideWhenUsed/>
    <w:qFormat/>
    <w:rsid w:val="00BC63AF"/>
    <w:pPr>
      <w:keepNext/>
      <w:keepLines/>
      <w:spacing w:before="200" w:after="0"/>
      <w:outlineLvl w:val="2"/>
    </w:pPr>
    <w:rPr>
      <w:rFonts w:asciiTheme="majorHAnsi" w:eastAsiaTheme="majorEastAsia" w:hAnsiTheme="majorHAnsi" w:cs="Times New Roman"/>
      <w:b/>
      <w:bCs/>
      <w:color w:val="4F81BD" w:themeColor="accent1"/>
    </w:rPr>
  </w:style>
  <w:style w:type="paragraph" w:styleId="Heading4">
    <w:name w:val="heading 4"/>
    <w:basedOn w:val="Normal"/>
    <w:next w:val="Normal"/>
    <w:link w:val="Heading4Char"/>
    <w:uiPriority w:val="9"/>
    <w:semiHidden/>
    <w:unhideWhenUsed/>
    <w:qFormat/>
    <w:rsid w:val="00BC63AF"/>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E7F"/>
    <w:rPr>
      <w:rFonts w:ascii="Calibri" w:hAnsi="Calibri" w:cs="Times New Roman"/>
      <w:b/>
      <w:bCs/>
      <w:w w:val="90"/>
      <w:sz w:val="20"/>
      <w:szCs w:val="20"/>
    </w:rPr>
  </w:style>
  <w:style w:type="character" w:customStyle="1" w:styleId="Heading2Char">
    <w:name w:val="Heading 2 Char"/>
    <w:basedOn w:val="DefaultParagraphFont"/>
    <w:link w:val="Heading2"/>
    <w:uiPriority w:val="9"/>
    <w:semiHidden/>
    <w:locked/>
    <w:rsid w:val="00E67AAC"/>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BC63AF"/>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BC63AF"/>
    <w:rPr>
      <w:rFonts w:asciiTheme="majorHAnsi" w:eastAsiaTheme="majorEastAsia" w:hAnsiTheme="majorHAnsi" w:cs="Times New Roman"/>
      <w:b/>
      <w:bCs/>
      <w:i/>
      <w:iCs/>
      <w:color w:val="4F81BD" w:themeColor="accent1"/>
    </w:rPr>
  </w:style>
  <w:style w:type="paragraph" w:styleId="Title">
    <w:name w:val="Title"/>
    <w:basedOn w:val="Normal"/>
    <w:link w:val="TitleChar"/>
    <w:uiPriority w:val="10"/>
    <w:qFormat/>
    <w:rsid w:val="00A57E7F"/>
    <w:pPr>
      <w:spacing w:before="57" w:after="0" w:line="240" w:lineRule="auto"/>
      <w:jc w:val="center"/>
    </w:pPr>
    <w:rPr>
      <w:rFonts w:ascii="Calibri" w:hAnsi="Calibri" w:cs="Times New Roman"/>
      <w:w w:val="90"/>
      <w:sz w:val="32"/>
      <w:szCs w:val="26"/>
    </w:rPr>
  </w:style>
  <w:style w:type="character" w:customStyle="1" w:styleId="TitleChar">
    <w:name w:val="Title Char"/>
    <w:basedOn w:val="DefaultParagraphFont"/>
    <w:link w:val="Title"/>
    <w:uiPriority w:val="10"/>
    <w:locked/>
    <w:rsid w:val="00A57E7F"/>
    <w:rPr>
      <w:rFonts w:ascii="Calibri" w:hAnsi="Calibri" w:cs="Times New Roman"/>
      <w:w w:val="90"/>
      <w:sz w:val="26"/>
      <w:szCs w:val="26"/>
    </w:rPr>
  </w:style>
  <w:style w:type="paragraph" w:styleId="FootnoteText">
    <w:name w:val="footnote text"/>
    <w:aliases w:val="Footnote Text Char Char Char"/>
    <w:basedOn w:val="Normal"/>
    <w:link w:val="FootnoteTextChar"/>
    <w:uiPriority w:val="99"/>
    <w:rsid w:val="00A57E7F"/>
    <w:pPr>
      <w:widowControl w:val="0"/>
      <w:adjustRightInd w:val="0"/>
      <w:spacing w:after="0" w:line="360" w:lineRule="atLeast"/>
      <w:jc w:val="both"/>
      <w:textAlignment w:val="baseline"/>
    </w:pPr>
    <w:rPr>
      <w:rFonts w:ascii="Century" w:eastAsia="ＤＦ平成明朝体W3" w:hAnsi="Century" w:cs="Times New Roman"/>
      <w:sz w:val="20"/>
      <w:szCs w:val="20"/>
      <w:lang w:eastAsia="ja-JP"/>
    </w:rPr>
  </w:style>
  <w:style w:type="character" w:customStyle="1" w:styleId="FootnoteTextChar">
    <w:name w:val="Footnote Text Char"/>
    <w:aliases w:val="Footnote Text Char Char Char Char"/>
    <w:basedOn w:val="DefaultParagraphFont"/>
    <w:link w:val="FootnoteText"/>
    <w:uiPriority w:val="99"/>
    <w:locked/>
    <w:rsid w:val="00A57E7F"/>
    <w:rPr>
      <w:rFonts w:ascii="Century" w:eastAsia="ＤＦ平成明朝体W3" w:hAnsi="Century" w:cs="Times New Roman"/>
      <w:sz w:val="20"/>
      <w:szCs w:val="20"/>
      <w:lang w:eastAsia="ja-JP"/>
    </w:rPr>
  </w:style>
  <w:style w:type="character" w:styleId="Hyperlink">
    <w:name w:val="Hyperlink"/>
    <w:basedOn w:val="DefaultParagraphFont"/>
    <w:uiPriority w:val="99"/>
    <w:rsid w:val="00A57E7F"/>
    <w:rPr>
      <w:rFonts w:cs="Times New Roman"/>
      <w:color w:val="0000FF"/>
      <w:u w:val="single"/>
    </w:rPr>
  </w:style>
  <w:style w:type="paragraph" w:styleId="NoSpacing">
    <w:name w:val="No Spacing"/>
    <w:link w:val="NoSpacingChar"/>
    <w:uiPriority w:val="1"/>
    <w:qFormat/>
    <w:rsid w:val="00616B94"/>
    <w:pPr>
      <w:spacing w:after="0" w:line="240" w:lineRule="auto"/>
    </w:pPr>
    <w:rPr>
      <w:rFonts w:ascii="Calibri" w:hAnsi="Calibri" w:cs="Times New Roman"/>
      <w:lang w:val="en-MY"/>
    </w:rPr>
  </w:style>
  <w:style w:type="character" w:customStyle="1" w:styleId="longtext">
    <w:name w:val="long_text"/>
    <w:basedOn w:val="DefaultParagraphFont"/>
    <w:uiPriority w:val="99"/>
    <w:rsid w:val="00616B94"/>
    <w:rPr>
      <w:rFonts w:cs="Times New Roman"/>
    </w:rPr>
  </w:style>
  <w:style w:type="paragraph" w:styleId="BodyText">
    <w:name w:val="Body Text"/>
    <w:basedOn w:val="Normal"/>
    <w:link w:val="BodyTextChar"/>
    <w:uiPriority w:val="99"/>
    <w:rsid w:val="00616B94"/>
    <w:pPr>
      <w:spacing w:after="0" w:line="240" w:lineRule="auto"/>
      <w:jc w:val="both"/>
    </w:pPr>
    <w:rPr>
      <w:rFonts w:cs="Times New Roman"/>
      <w:i/>
      <w:iCs/>
      <w:sz w:val="24"/>
      <w:szCs w:val="24"/>
    </w:rPr>
  </w:style>
  <w:style w:type="character" w:customStyle="1" w:styleId="BodyTextChar">
    <w:name w:val="Body Text Char"/>
    <w:basedOn w:val="DefaultParagraphFont"/>
    <w:link w:val="BodyText"/>
    <w:uiPriority w:val="99"/>
    <w:locked/>
    <w:rsid w:val="00616B94"/>
    <w:rPr>
      <w:rFonts w:ascii="Times New Roman" w:hAnsi="Times New Roman" w:cs="Times New Roman"/>
      <w:i/>
      <w:iCs/>
      <w:sz w:val="24"/>
      <w:szCs w:val="24"/>
    </w:rPr>
  </w:style>
  <w:style w:type="paragraph" w:styleId="NormalWeb">
    <w:name w:val="Normal (Web)"/>
    <w:basedOn w:val="Normal"/>
    <w:uiPriority w:val="99"/>
    <w:unhideWhenUsed/>
    <w:rsid w:val="00616B94"/>
    <w:pPr>
      <w:spacing w:before="100" w:beforeAutospacing="1" w:after="100" w:afterAutospacing="1" w:line="240" w:lineRule="auto"/>
    </w:pPr>
    <w:rPr>
      <w:rFonts w:cs="Times New Roman"/>
      <w:sz w:val="24"/>
      <w:szCs w:val="24"/>
    </w:rPr>
  </w:style>
  <w:style w:type="character" w:styleId="Strong">
    <w:name w:val="Strong"/>
    <w:basedOn w:val="DefaultParagraphFont"/>
    <w:uiPriority w:val="22"/>
    <w:qFormat/>
    <w:rsid w:val="00616B94"/>
    <w:rPr>
      <w:rFonts w:cs="Times New Roman"/>
      <w:b/>
      <w:bCs/>
    </w:rPr>
  </w:style>
  <w:style w:type="character" w:styleId="Emphasis">
    <w:name w:val="Emphasis"/>
    <w:basedOn w:val="DefaultParagraphFont"/>
    <w:uiPriority w:val="20"/>
    <w:qFormat/>
    <w:rsid w:val="00616B94"/>
    <w:rPr>
      <w:rFonts w:cs="Times New Roman"/>
      <w:i/>
      <w:iCs/>
    </w:rPr>
  </w:style>
  <w:style w:type="paragraph" w:customStyle="1" w:styleId="Default">
    <w:name w:val="Default"/>
    <w:rsid w:val="00616B94"/>
    <w:pPr>
      <w:autoSpaceDE w:val="0"/>
      <w:autoSpaceDN w:val="0"/>
      <w:adjustRightInd w:val="0"/>
      <w:spacing w:after="0" w:line="240" w:lineRule="auto"/>
    </w:pPr>
    <w:rPr>
      <w:rFonts w:ascii="Cambria" w:hAnsi="Cambria" w:cs="Cambria"/>
      <w:color w:val="000000"/>
      <w:sz w:val="24"/>
      <w:szCs w:val="24"/>
      <w:lang w:val="id-ID" w:eastAsia="id-ID"/>
    </w:rPr>
  </w:style>
  <w:style w:type="paragraph" w:styleId="EndnoteText">
    <w:name w:val="endnote text"/>
    <w:basedOn w:val="Normal"/>
    <w:link w:val="EndnoteTextChar"/>
    <w:uiPriority w:val="99"/>
    <w:semiHidden/>
    <w:unhideWhenUsed/>
    <w:rsid w:val="00616B94"/>
    <w:rPr>
      <w:rFonts w:ascii="Calibri" w:hAnsi="Calibri"/>
      <w:sz w:val="20"/>
      <w:szCs w:val="20"/>
      <w:lang w:val="id-ID"/>
    </w:rPr>
  </w:style>
  <w:style w:type="character" w:customStyle="1" w:styleId="EndnoteTextChar">
    <w:name w:val="Endnote Text Char"/>
    <w:basedOn w:val="DefaultParagraphFont"/>
    <w:link w:val="EndnoteText"/>
    <w:uiPriority w:val="99"/>
    <w:semiHidden/>
    <w:locked/>
    <w:rsid w:val="00616B94"/>
    <w:rPr>
      <w:rFonts w:ascii="Calibri" w:hAnsi="Calibri" w:cs="Arial"/>
      <w:sz w:val="20"/>
      <w:szCs w:val="20"/>
      <w:lang w:val="id-ID"/>
    </w:rPr>
  </w:style>
  <w:style w:type="character" w:styleId="EndnoteReference">
    <w:name w:val="endnote reference"/>
    <w:basedOn w:val="DefaultParagraphFont"/>
    <w:uiPriority w:val="99"/>
    <w:semiHidden/>
    <w:unhideWhenUsed/>
    <w:rsid w:val="00616B94"/>
    <w:rPr>
      <w:rFonts w:cs="Times New Roman"/>
      <w:vertAlign w:val="superscript"/>
    </w:rPr>
  </w:style>
  <w:style w:type="character" w:styleId="FootnoteReference">
    <w:name w:val="footnote reference"/>
    <w:basedOn w:val="DefaultParagraphFont"/>
    <w:uiPriority w:val="99"/>
    <w:unhideWhenUsed/>
    <w:rsid w:val="00BD79EA"/>
    <w:rPr>
      <w:rFonts w:cs="Times New Roman"/>
      <w:vertAlign w:val="superscript"/>
    </w:rPr>
  </w:style>
  <w:style w:type="paragraph" w:styleId="BodyText2">
    <w:name w:val="Body Text 2"/>
    <w:basedOn w:val="Normal"/>
    <w:link w:val="BodyText2Char"/>
    <w:uiPriority w:val="99"/>
    <w:rsid w:val="00D93A78"/>
    <w:pPr>
      <w:spacing w:after="0" w:line="360" w:lineRule="auto"/>
    </w:pPr>
    <w:rPr>
      <w:rFonts w:cs="Times New Roman"/>
      <w:sz w:val="24"/>
      <w:szCs w:val="20"/>
      <w:lang w:val="en-GB"/>
    </w:rPr>
  </w:style>
  <w:style w:type="character" w:customStyle="1" w:styleId="BodyText2Char">
    <w:name w:val="Body Text 2 Char"/>
    <w:basedOn w:val="DefaultParagraphFont"/>
    <w:link w:val="BodyText2"/>
    <w:uiPriority w:val="99"/>
    <w:locked/>
    <w:rsid w:val="00D93A78"/>
    <w:rPr>
      <w:rFonts w:ascii="Times New Roman" w:hAnsi="Times New Roman" w:cs="Times New Roman"/>
      <w:sz w:val="20"/>
      <w:szCs w:val="20"/>
      <w:lang w:val="en-GB"/>
    </w:rPr>
  </w:style>
  <w:style w:type="paragraph" w:styleId="Footer">
    <w:name w:val="footer"/>
    <w:basedOn w:val="Normal"/>
    <w:link w:val="FooterChar"/>
    <w:uiPriority w:val="99"/>
    <w:rsid w:val="00D93A78"/>
    <w:pPr>
      <w:tabs>
        <w:tab w:val="center" w:pos="4320"/>
        <w:tab w:val="right" w:pos="8640"/>
      </w:tabs>
      <w:spacing w:after="0" w:line="240" w:lineRule="auto"/>
    </w:pPr>
    <w:rPr>
      <w:rFonts w:cs="Times New Roman"/>
      <w:sz w:val="20"/>
      <w:szCs w:val="20"/>
      <w:lang w:val="en-GB"/>
    </w:rPr>
  </w:style>
  <w:style w:type="character" w:customStyle="1" w:styleId="FooterChar">
    <w:name w:val="Footer Char"/>
    <w:basedOn w:val="DefaultParagraphFont"/>
    <w:link w:val="Footer"/>
    <w:uiPriority w:val="99"/>
    <w:locked/>
    <w:rsid w:val="00D93A78"/>
    <w:rPr>
      <w:rFonts w:ascii="Times New Roman" w:hAnsi="Times New Roman" w:cs="Times New Roman"/>
      <w:sz w:val="20"/>
      <w:szCs w:val="20"/>
      <w:lang w:val="en-GB"/>
    </w:rPr>
  </w:style>
  <w:style w:type="character" w:styleId="PageNumber">
    <w:name w:val="page number"/>
    <w:basedOn w:val="DefaultParagraphFont"/>
    <w:uiPriority w:val="99"/>
    <w:rsid w:val="00D93A78"/>
    <w:rPr>
      <w:rFonts w:cs="Times New Roman"/>
    </w:rPr>
  </w:style>
  <w:style w:type="character" w:customStyle="1" w:styleId="storyheader">
    <w:name w:val="story_header"/>
    <w:basedOn w:val="DefaultParagraphFont"/>
    <w:rsid w:val="00D93A78"/>
    <w:rPr>
      <w:rFonts w:cs="Times New Roman"/>
    </w:rPr>
  </w:style>
  <w:style w:type="character" w:styleId="FollowedHyperlink">
    <w:name w:val="FollowedHyperlink"/>
    <w:basedOn w:val="DefaultParagraphFont"/>
    <w:uiPriority w:val="99"/>
    <w:rsid w:val="00D93A78"/>
    <w:rPr>
      <w:rFonts w:cs="Times New Roman"/>
      <w:color w:val="800080"/>
      <w:u w:val="single"/>
    </w:rPr>
  </w:style>
  <w:style w:type="paragraph" w:styleId="BodyTextIndent">
    <w:name w:val="Body Text Indent"/>
    <w:basedOn w:val="Normal"/>
    <w:link w:val="BodyTextIndentChar"/>
    <w:uiPriority w:val="99"/>
    <w:rsid w:val="00D93A78"/>
    <w:pPr>
      <w:spacing w:after="120" w:line="240" w:lineRule="auto"/>
      <w:ind w:left="360"/>
    </w:pPr>
    <w:rPr>
      <w:rFonts w:cs="Times New Roman"/>
      <w:sz w:val="20"/>
      <w:szCs w:val="20"/>
      <w:lang w:val="en-GB"/>
    </w:rPr>
  </w:style>
  <w:style w:type="character" w:customStyle="1" w:styleId="BodyTextIndentChar">
    <w:name w:val="Body Text Indent Char"/>
    <w:basedOn w:val="DefaultParagraphFont"/>
    <w:link w:val="BodyTextIndent"/>
    <w:uiPriority w:val="99"/>
    <w:locked/>
    <w:rsid w:val="00D93A78"/>
    <w:rPr>
      <w:rFonts w:ascii="Times New Roman" w:hAnsi="Times New Roman" w:cs="Times New Roman"/>
      <w:sz w:val="20"/>
      <w:szCs w:val="20"/>
      <w:lang w:val="en-GB"/>
    </w:rPr>
  </w:style>
  <w:style w:type="paragraph" w:styleId="BodyTextIndent2">
    <w:name w:val="Body Text Indent 2"/>
    <w:basedOn w:val="Normal"/>
    <w:link w:val="BodyTextIndent2Char"/>
    <w:uiPriority w:val="99"/>
    <w:rsid w:val="00D93A78"/>
    <w:pPr>
      <w:spacing w:after="120" w:line="480" w:lineRule="auto"/>
      <w:ind w:left="360"/>
    </w:pPr>
    <w:rPr>
      <w:rFonts w:cs="Times New Roman"/>
      <w:sz w:val="20"/>
      <w:szCs w:val="20"/>
      <w:lang w:val="en-GB"/>
    </w:rPr>
  </w:style>
  <w:style w:type="character" w:customStyle="1" w:styleId="BodyTextIndent2Char">
    <w:name w:val="Body Text Indent 2 Char"/>
    <w:basedOn w:val="DefaultParagraphFont"/>
    <w:link w:val="BodyTextIndent2"/>
    <w:uiPriority w:val="99"/>
    <w:locked/>
    <w:rsid w:val="00D93A78"/>
    <w:rPr>
      <w:rFonts w:ascii="Times New Roman" w:hAnsi="Times New Roman" w:cs="Times New Roman"/>
      <w:sz w:val="20"/>
      <w:szCs w:val="20"/>
      <w:lang w:val="en-GB"/>
    </w:rPr>
  </w:style>
  <w:style w:type="character" w:customStyle="1" w:styleId="profileshighlighttext1">
    <w:name w:val="profileshighlighttext1"/>
    <w:basedOn w:val="DefaultParagraphFont"/>
    <w:rsid w:val="00D93A78"/>
    <w:rPr>
      <w:rFonts w:ascii="Arial" w:hAnsi="Arial" w:cs="Arial"/>
      <w:b/>
      <w:bCs/>
      <w:color w:val="0D40A6"/>
      <w:sz w:val="18"/>
      <w:szCs w:val="18"/>
      <w:u w:val="none"/>
      <w:effect w:val="none"/>
    </w:rPr>
  </w:style>
  <w:style w:type="paragraph" w:styleId="ListParagraph">
    <w:name w:val="List Paragraph"/>
    <w:basedOn w:val="Normal"/>
    <w:uiPriority w:val="34"/>
    <w:qFormat/>
    <w:rsid w:val="006D640A"/>
    <w:pPr>
      <w:ind w:left="720"/>
      <w:contextualSpacing/>
    </w:pPr>
    <w:rPr>
      <w:rFonts w:ascii="Calibri" w:hAnsi="Calibri" w:cs="Times New Roman"/>
    </w:rPr>
  </w:style>
  <w:style w:type="paragraph" w:styleId="BalloonText">
    <w:name w:val="Balloon Text"/>
    <w:basedOn w:val="Normal"/>
    <w:link w:val="BalloonTextChar"/>
    <w:uiPriority w:val="99"/>
    <w:unhideWhenUsed/>
    <w:rsid w:val="006D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640A"/>
    <w:rPr>
      <w:rFonts w:ascii="Tahoma" w:hAnsi="Tahoma" w:cs="Tahoma"/>
      <w:sz w:val="16"/>
      <w:szCs w:val="16"/>
    </w:rPr>
  </w:style>
  <w:style w:type="paragraph" w:styleId="BodyTextIndent3">
    <w:name w:val="Body Text Indent 3"/>
    <w:basedOn w:val="Normal"/>
    <w:link w:val="BodyTextIndent3Char"/>
    <w:uiPriority w:val="99"/>
    <w:unhideWhenUsed/>
    <w:rsid w:val="00190CF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90CF5"/>
    <w:rPr>
      <w:rFonts w:cs="Times New Roman"/>
      <w:sz w:val="16"/>
      <w:szCs w:val="16"/>
    </w:rPr>
  </w:style>
  <w:style w:type="paragraph" w:styleId="Header">
    <w:name w:val="header"/>
    <w:aliases w:val="First Page Header"/>
    <w:basedOn w:val="Normal"/>
    <w:link w:val="HeaderChar"/>
    <w:uiPriority w:val="99"/>
    <w:rsid w:val="00190CF5"/>
    <w:pPr>
      <w:tabs>
        <w:tab w:val="center" w:pos="4153"/>
        <w:tab w:val="right" w:pos="8306"/>
      </w:tabs>
      <w:spacing w:after="0" w:line="240" w:lineRule="auto"/>
    </w:pPr>
    <w:rPr>
      <w:rFonts w:cs="Times New Roman"/>
      <w:sz w:val="24"/>
      <w:szCs w:val="24"/>
      <w:lang w:val="id-ID"/>
    </w:rPr>
  </w:style>
  <w:style w:type="character" w:customStyle="1" w:styleId="HeaderChar">
    <w:name w:val="Header Char"/>
    <w:aliases w:val="First Page Header Char"/>
    <w:basedOn w:val="DefaultParagraphFont"/>
    <w:link w:val="Header"/>
    <w:uiPriority w:val="99"/>
    <w:locked/>
    <w:rsid w:val="00190CF5"/>
    <w:rPr>
      <w:rFonts w:ascii="Times New Roman" w:hAnsi="Times New Roman" w:cs="Times New Roman"/>
      <w:sz w:val="24"/>
      <w:szCs w:val="24"/>
      <w:lang w:val="id-ID"/>
    </w:rPr>
  </w:style>
  <w:style w:type="character" w:customStyle="1" w:styleId="go">
    <w:name w:val="go"/>
    <w:basedOn w:val="DefaultParagraphFont"/>
    <w:rsid w:val="00496918"/>
    <w:rPr>
      <w:rFonts w:cs="Times New Roman"/>
    </w:rPr>
  </w:style>
  <w:style w:type="paragraph" w:styleId="HTMLPreformatted">
    <w:name w:val="HTML Preformatted"/>
    <w:basedOn w:val="Normal"/>
    <w:link w:val="HTMLPreformattedChar"/>
    <w:uiPriority w:val="99"/>
    <w:semiHidden/>
    <w:unhideWhenUsed/>
    <w:rsid w:val="0049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96918"/>
    <w:rPr>
      <w:rFonts w:ascii="Courier New" w:hAnsi="Courier New" w:cs="Courier New"/>
      <w:sz w:val="20"/>
      <w:szCs w:val="20"/>
    </w:rPr>
  </w:style>
  <w:style w:type="character" w:customStyle="1" w:styleId="searchword">
    <w:name w:val="searchword"/>
    <w:basedOn w:val="DefaultParagraphFont"/>
    <w:rsid w:val="00B84A2F"/>
    <w:rPr>
      <w:rFonts w:cs="Times New Roman"/>
    </w:rPr>
  </w:style>
  <w:style w:type="character" w:customStyle="1" w:styleId="gi">
    <w:name w:val="gi"/>
    <w:basedOn w:val="DefaultParagraphFont"/>
    <w:rsid w:val="00D10D12"/>
    <w:rPr>
      <w:rFonts w:cs="Times New Roman"/>
    </w:rPr>
  </w:style>
  <w:style w:type="character" w:styleId="LineNumber">
    <w:name w:val="line number"/>
    <w:basedOn w:val="DefaultParagraphFont"/>
    <w:uiPriority w:val="99"/>
    <w:semiHidden/>
    <w:unhideWhenUsed/>
    <w:rsid w:val="007D4B89"/>
    <w:rPr>
      <w:rFonts w:cs="Times New Roman"/>
    </w:rPr>
  </w:style>
  <w:style w:type="table" w:styleId="TableGrid">
    <w:name w:val="Table Grid"/>
    <w:basedOn w:val="TableNormal"/>
    <w:uiPriority w:val="59"/>
    <w:rsid w:val="002435F6"/>
    <w:pPr>
      <w:spacing w:after="0" w:line="240" w:lineRule="auto"/>
    </w:pPr>
    <w:rPr>
      <w:rFonts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766F"/>
    <w:rPr>
      <w:rFonts w:cs="Times New Roman"/>
      <w:color w:val="808080"/>
    </w:rPr>
  </w:style>
  <w:style w:type="character" w:customStyle="1" w:styleId="NoSpacingChar">
    <w:name w:val="No Spacing Char"/>
    <w:basedOn w:val="DefaultParagraphFont"/>
    <w:link w:val="NoSpacing"/>
    <w:uiPriority w:val="1"/>
    <w:locked/>
    <w:rsid w:val="00C269B1"/>
    <w:rPr>
      <w:rFonts w:ascii="Calibri" w:hAnsi="Calibri" w:cs="Times New Roman"/>
      <w:lang w:val="en-MY"/>
    </w:rPr>
  </w:style>
  <w:style w:type="paragraph" w:styleId="DocumentMap">
    <w:name w:val="Document Map"/>
    <w:basedOn w:val="Normal"/>
    <w:link w:val="DocumentMapChar"/>
    <w:uiPriority w:val="99"/>
    <w:semiHidden/>
    <w:rsid w:val="002E77D1"/>
    <w:pPr>
      <w:shd w:val="clear" w:color="auto" w:fill="000080"/>
      <w:spacing w:after="0" w:line="240" w:lineRule="auto"/>
    </w:pPr>
    <w:rPr>
      <w:rFonts w:ascii="Tahoma" w:hAnsi="Tahoma" w:cs="Tahoma"/>
      <w:sz w:val="20"/>
      <w:szCs w:val="20"/>
      <w:lang w:val="id-ID"/>
    </w:rPr>
  </w:style>
  <w:style w:type="character" w:customStyle="1" w:styleId="DocumentMapChar">
    <w:name w:val="Document Map Char"/>
    <w:basedOn w:val="DefaultParagraphFont"/>
    <w:link w:val="DocumentMap"/>
    <w:uiPriority w:val="99"/>
    <w:semiHidden/>
    <w:locked/>
    <w:rsid w:val="002E77D1"/>
    <w:rPr>
      <w:rFonts w:ascii="Tahoma" w:hAnsi="Tahoma" w:cs="Tahoma"/>
      <w:sz w:val="20"/>
      <w:szCs w:val="20"/>
      <w:shd w:val="clear" w:color="auto" w:fill="000080"/>
      <w:lang w:val="id-ID"/>
    </w:rPr>
  </w:style>
  <w:style w:type="paragraph" w:styleId="MessageHeader">
    <w:name w:val="Message Header"/>
    <w:basedOn w:val="DocumentMap"/>
    <w:next w:val="Normal"/>
    <w:link w:val="MessageHeaderChar"/>
    <w:uiPriority w:val="99"/>
    <w:rsid w:val="002E77D1"/>
    <w:pPr>
      <w:pBdr>
        <w:top w:val="single" w:sz="6" w:space="1" w:color="auto"/>
        <w:left w:val="single" w:sz="6" w:space="1" w:color="auto"/>
        <w:bottom w:val="single" w:sz="6" w:space="1" w:color="auto"/>
        <w:right w:val="single" w:sz="6" w:space="1" w:color="auto"/>
      </w:pBdr>
      <w:shd w:val="pct20" w:color="auto" w:fill="auto"/>
      <w:ind w:left="1080" w:hanging="1080"/>
      <w:jc w:val="right"/>
    </w:pPr>
    <w:rPr>
      <w:rFonts w:ascii="Times New Roman" w:hAnsi="Times New Roman" w:cs="Arial"/>
      <w:i/>
      <w:sz w:val="16"/>
    </w:rPr>
  </w:style>
  <w:style w:type="character" w:customStyle="1" w:styleId="MessageHeaderChar">
    <w:name w:val="Message Header Char"/>
    <w:basedOn w:val="DefaultParagraphFont"/>
    <w:link w:val="MessageHeader"/>
    <w:uiPriority w:val="99"/>
    <w:locked/>
    <w:rsid w:val="002E77D1"/>
    <w:rPr>
      <w:rFonts w:ascii="Times New Roman" w:hAnsi="Times New Roman" w:cs="Arial"/>
      <w:i/>
      <w:sz w:val="20"/>
      <w:szCs w:val="20"/>
      <w:shd w:val="pct20" w:color="auto" w:fill="auto"/>
      <w:lang w:val="id-ID"/>
    </w:rPr>
  </w:style>
  <w:style w:type="paragraph" w:customStyle="1" w:styleId="FirstPage">
    <w:name w:val="First Page"/>
    <w:basedOn w:val="DocumentMap"/>
    <w:next w:val="Normal"/>
    <w:rsid w:val="002E77D1"/>
  </w:style>
  <w:style w:type="paragraph" w:customStyle="1" w:styleId="Style2">
    <w:name w:val="Style2"/>
    <w:basedOn w:val="Normal"/>
    <w:rsid w:val="002E77D1"/>
    <w:pPr>
      <w:tabs>
        <w:tab w:val="right" w:pos="720"/>
      </w:tabs>
      <w:spacing w:after="0" w:line="240" w:lineRule="auto"/>
      <w:jc w:val="both"/>
    </w:pPr>
    <w:rPr>
      <w:rFonts w:ascii="Arial" w:hAnsi="Arial"/>
      <w:sz w:val="20"/>
      <w:szCs w:val="20"/>
      <w:lang w:val="id-ID"/>
    </w:rPr>
  </w:style>
  <w:style w:type="paragraph" w:customStyle="1" w:styleId="StyleAbstractLeft127cmRight127cm">
    <w:name w:val="Style Abstract + Left:  1.27 cm Right:  1.27 cm"/>
    <w:basedOn w:val="Normal"/>
    <w:rsid w:val="002E77D1"/>
    <w:pPr>
      <w:spacing w:before="360" w:after="0" w:line="240" w:lineRule="auto"/>
      <w:ind w:left="720" w:right="720"/>
      <w:jc w:val="both"/>
    </w:pPr>
    <w:rPr>
      <w:rFonts w:ascii="Arial" w:hAnsi="Arial" w:cs="Times New Roman"/>
      <w:sz w:val="20"/>
      <w:szCs w:val="20"/>
      <w:lang w:val="id-ID"/>
    </w:rPr>
  </w:style>
  <w:style w:type="paragraph" w:customStyle="1" w:styleId="StyleKeywordsNotBold">
    <w:name w:val="Style Keywords + Not Bold"/>
    <w:basedOn w:val="Normal"/>
    <w:rsid w:val="002E77D1"/>
    <w:pPr>
      <w:spacing w:before="120" w:after="0" w:line="240" w:lineRule="auto"/>
      <w:ind w:left="720" w:right="720"/>
    </w:pPr>
    <w:rPr>
      <w:rFonts w:ascii="Arial" w:hAnsi="Arial" w:cs="Times New Roman"/>
      <w:sz w:val="20"/>
      <w:szCs w:val="20"/>
      <w:lang w:val="id-ID"/>
    </w:rPr>
  </w:style>
  <w:style w:type="paragraph" w:customStyle="1" w:styleId="ADICTitle">
    <w:name w:val="ADIC Title"/>
    <w:basedOn w:val="Title"/>
    <w:autoRedefine/>
    <w:rsid w:val="00304000"/>
    <w:pPr>
      <w:spacing w:before="0"/>
      <w:outlineLvl w:val="0"/>
    </w:pPr>
    <w:rPr>
      <w:rFonts w:ascii="Times New Roman" w:hAnsi="Times New Roman"/>
      <w:b/>
      <w:bCs/>
      <w:w w:val="100"/>
      <w:kern w:val="28"/>
      <w:sz w:val="28"/>
      <w:szCs w:val="28"/>
      <w:lang w:val="id-ID"/>
    </w:rPr>
  </w:style>
  <w:style w:type="paragraph" w:customStyle="1" w:styleId="ADICAuthors">
    <w:name w:val="ADIC Author(s)"/>
    <w:basedOn w:val="ADICTitle"/>
    <w:rsid w:val="002E77D1"/>
    <w:rPr>
      <w:sz w:val="22"/>
    </w:rPr>
  </w:style>
  <w:style w:type="paragraph" w:customStyle="1" w:styleId="ADICPaperAuthor">
    <w:name w:val="ADIC Paper Author"/>
    <w:basedOn w:val="Normal"/>
    <w:autoRedefine/>
    <w:rsid w:val="002E77D1"/>
    <w:pPr>
      <w:spacing w:before="360" w:after="360" w:line="240" w:lineRule="auto"/>
      <w:jc w:val="center"/>
    </w:pPr>
    <w:rPr>
      <w:rFonts w:ascii="Arial" w:hAnsi="Arial" w:cs="Times New Roman"/>
      <w:b/>
      <w:sz w:val="20"/>
      <w:szCs w:val="20"/>
      <w:lang w:val="id-ID"/>
    </w:rPr>
  </w:style>
  <w:style w:type="paragraph" w:customStyle="1" w:styleId="ADICAbstractBold">
    <w:name w:val="ADIC Abstract + Bold"/>
    <w:basedOn w:val="Normal"/>
    <w:link w:val="ADICAbstractBoldCharChar"/>
    <w:autoRedefine/>
    <w:rsid w:val="005F0154"/>
    <w:pPr>
      <w:spacing w:before="100" w:beforeAutospacing="1" w:after="100" w:afterAutospacing="1" w:line="240" w:lineRule="auto"/>
      <w:ind w:left="288" w:right="288"/>
      <w:jc w:val="center"/>
    </w:pPr>
    <w:rPr>
      <w:rFonts w:ascii="Times New Roman" w:hAnsi="Times New Roman" w:cs="Times New Roman"/>
      <w:b/>
      <w:bCs/>
      <w:sz w:val="24"/>
      <w:szCs w:val="24"/>
      <w:lang w:val="id-ID"/>
    </w:rPr>
  </w:style>
  <w:style w:type="character" w:customStyle="1" w:styleId="ADICAbstractBoldCharChar">
    <w:name w:val="ADIC Abstract + Bold Char Char"/>
    <w:link w:val="ADICAbstractBold"/>
    <w:locked/>
    <w:rsid w:val="005F0154"/>
    <w:rPr>
      <w:rFonts w:ascii="Times New Roman" w:hAnsi="Times New Roman"/>
      <w:b/>
      <w:sz w:val="24"/>
      <w:lang w:val="id-ID"/>
    </w:rPr>
  </w:style>
  <w:style w:type="paragraph" w:customStyle="1" w:styleId="ADICAddress">
    <w:name w:val="ADIC Address"/>
    <w:basedOn w:val="Normal"/>
    <w:rsid w:val="002E77D1"/>
    <w:pPr>
      <w:spacing w:after="0" w:line="240" w:lineRule="auto"/>
      <w:jc w:val="center"/>
    </w:pPr>
    <w:rPr>
      <w:rFonts w:ascii="Arial" w:hAnsi="Arial" w:cs="Times New Roman"/>
      <w:i/>
      <w:sz w:val="20"/>
      <w:szCs w:val="20"/>
      <w:lang w:val="id-ID"/>
    </w:rPr>
  </w:style>
  <w:style w:type="paragraph" w:customStyle="1" w:styleId="ADICAbstract-Left">
    <w:name w:val="ADIC Abstract-Left"/>
    <w:basedOn w:val="Normal"/>
    <w:rsid w:val="002E77D1"/>
    <w:pPr>
      <w:spacing w:after="0" w:line="240" w:lineRule="auto"/>
    </w:pPr>
    <w:rPr>
      <w:rFonts w:ascii="Times New Roman" w:hAnsi="Times New Roman" w:cs="Times New Roman"/>
      <w:sz w:val="20"/>
      <w:szCs w:val="24"/>
      <w:lang w:val="id-ID"/>
    </w:rPr>
  </w:style>
  <w:style w:type="paragraph" w:customStyle="1" w:styleId="Abstract">
    <w:name w:val="Abstract"/>
    <w:basedOn w:val="Normal"/>
    <w:link w:val="AbstractChar"/>
    <w:rsid w:val="002E77D1"/>
    <w:pPr>
      <w:spacing w:before="360" w:after="0" w:line="240" w:lineRule="auto"/>
      <w:ind w:left="288" w:right="288"/>
      <w:jc w:val="both"/>
    </w:pPr>
    <w:rPr>
      <w:rFonts w:ascii="Arial" w:hAnsi="Arial" w:cs="Times New Roman"/>
      <w:sz w:val="20"/>
      <w:szCs w:val="20"/>
    </w:rPr>
  </w:style>
  <w:style w:type="character" w:customStyle="1" w:styleId="AbstractChar">
    <w:name w:val="Abstract Char"/>
    <w:link w:val="Abstract"/>
    <w:locked/>
    <w:rsid w:val="002E77D1"/>
    <w:rPr>
      <w:rFonts w:ascii="Arial" w:hAnsi="Arial"/>
      <w:sz w:val="20"/>
    </w:rPr>
  </w:style>
  <w:style w:type="paragraph" w:customStyle="1" w:styleId="ADICAbstractLeft127cmRight127cm1">
    <w:name w:val="ADIC Abstract + Left:  1.27 cm Right:  1.27 cm1"/>
    <w:basedOn w:val="Abstract"/>
    <w:autoRedefine/>
    <w:rsid w:val="00E2229F"/>
    <w:pPr>
      <w:spacing w:before="100" w:beforeAutospacing="1" w:after="100" w:afterAutospacing="1"/>
      <w:ind w:left="0" w:right="-1"/>
    </w:pPr>
  </w:style>
  <w:style w:type="paragraph" w:customStyle="1" w:styleId="ADICKeywords">
    <w:name w:val="ADIC Keywords"/>
    <w:basedOn w:val="ADICAbstractLeft127cmRight127cm1"/>
    <w:link w:val="ADICKeywordsChar"/>
    <w:autoRedefine/>
    <w:rsid w:val="00317FEE"/>
    <w:pPr>
      <w:spacing w:before="0" w:beforeAutospacing="0" w:after="0" w:afterAutospacing="0" w:line="480" w:lineRule="auto"/>
      <w:ind w:right="0"/>
    </w:pPr>
    <w:rPr>
      <w:rFonts w:ascii="Times New Roman" w:hAnsi="Times New Roman"/>
      <w:sz w:val="24"/>
      <w:szCs w:val="24"/>
    </w:rPr>
  </w:style>
  <w:style w:type="paragraph" w:customStyle="1" w:styleId="Keywords">
    <w:name w:val="Keywords"/>
    <w:basedOn w:val="Normal"/>
    <w:rsid w:val="002E77D1"/>
    <w:pPr>
      <w:spacing w:before="120" w:after="0" w:line="240" w:lineRule="auto"/>
      <w:ind w:left="720" w:right="720"/>
    </w:pPr>
    <w:rPr>
      <w:rFonts w:ascii="Arial" w:hAnsi="Arial" w:cs="Times New Roman"/>
      <w:b/>
      <w:sz w:val="20"/>
      <w:szCs w:val="20"/>
      <w:lang w:val="id-ID"/>
    </w:rPr>
  </w:style>
  <w:style w:type="paragraph" w:customStyle="1" w:styleId="ADICSectionHeading">
    <w:name w:val="ADIC Section Heading"/>
    <w:basedOn w:val="Normal"/>
    <w:next w:val="Normal"/>
    <w:link w:val="ADICSectionHeadingChar"/>
    <w:autoRedefine/>
    <w:rsid w:val="002E77D1"/>
    <w:pPr>
      <w:autoSpaceDE w:val="0"/>
      <w:autoSpaceDN w:val="0"/>
      <w:spacing w:before="360" w:after="120" w:line="240" w:lineRule="auto"/>
      <w:jc w:val="both"/>
    </w:pPr>
    <w:rPr>
      <w:rFonts w:ascii="Arial" w:hAnsi="Arial" w:cs="Times New Roman"/>
      <w:b/>
      <w:bCs/>
      <w:szCs w:val="24"/>
    </w:rPr>
  </w:style>
  <w:style w:type="character" w:customStyle="1" w:styleId="ADICSectionHeadingChar">
    <w:name w:val="ADIC Section Heading Char"/>
    <w:link w:val="ADICSectionHeading"/>
    <w:locked/>
    <w:rsid w:val="002E77D1"/>
    <w:rPr>
      <w:rFonts w:ascii="Arial" w:hAnsi="Arial"/>
      <w:b/>
      <w:sz w:val="24"/>
    </w:rPr>
  </w:style>
  <w:style w:type="paragraph" w:customStyle="1" w:styleId="ADICParagraphothers">
    <w:name w:val="ADIC Paragraph others"/>
    <w:basedOn w:val="ADICParagraph"/>
    <w:link w:val="ADICParagraphothersChar"/>
    <w:rsid w:val="002E77D1"/>
    <w:pPr>
      <w:spacing w:before="240" w:after="240"/>
    </w:pPr>
  </w:style>
  <w:style w:type="paragraph" w:customStyle="1" w:styleId="ADICParagraph">
    <w:name w:val="ADIC Paragraph"/>
    <w:basedOn w:val="Normal"/>
    <w:next w:val="ADICParagraphothers"/>
    <w:link w:val="ADICParagraphCharChar"/>
    <w:rsid w:val="002E77D1"/>
    <w:pPr>
      <w:spacing w:after="0" w:line="240" w:lineRule="auto"/>
      <w:jc w:val="both"/>
    </w:pPr>
    <w:rPr>
      <w:rFonts w:ascii="Arial" w:hAnsi="Arial" w:cs="Times New Roman"/>
    </w:rPr>
  </w:style>
  <w:style w:type="character" w:customStyle="1" w:styleId="ADICParagraphCharChar">
    <w:name w:val="ADIC Paragraph Char Char"/>
    <w:link w:val="ADICParagraph"/>
    <w:locked/>
    <w:rsid w:val="002E77D1"/>
    <w:rPr>
      <w:rFonts w:ascii="Arial" w:hAnsi="Arial"/>
    </w:rPr>
  </w:style>
  <w:style w:type="character" w:customStyle="1" w:styleId="ADICParagraphothersChar">
    <w:name w:val="ADIC Paragraph others Char"/>
    <w:basedOn w:val="ADICParagraphCharChar"/>
    <w:link w:val="ADICParagraphothers"/>
    <w:locked/>
    <w:rsid w:val="002E77D1"/>
    <w:rPr>
      <w:rFonts w:ascii="Arial" w:hAnsi="Arial" w:cs="Times New Roman"/>
    </w:rPr>
  </w:style>
  <w:style w:type="paragraph" w:customStyle="1" w:styleId="SectionHeading">
    <w:name w:val="Section Heading"/>
    <w:basedOn w:val="Normal"/>
    <w:next w:val="Normal"/>
    <w:rsid w:val="002E77D1"/>
    <w:pPr>
      <w:autoSpaceDE w:val="0"/>
      <w:autoSpaceDN w:val="0"/>
      <w:spacing w:before="360" w:after="120" w:line="240" w:lineRule="auto"/>
      <w:jc w:val="both"/>
    </w:pPr>
    <w:rPr>
      <w:rFonts w:ascii="Arial" w:hAnsi="Arial" w:cs="Times New Roman"/>
      <w:b/>
      <w:bCs/>
      <w:szCs w:val="24"/>
      <w:lang w:val="id-ID"/>
    </w:rPr>
  </w:style>
  <w:style w:type="paragraph" w:customStyle="1" w:styleId="ADICsubsectionheading">
    <w:name w:val="ADIC subsection heading"/>
    <w:basedOn w:val="Normal"/>
    <w:rsid w:val="002E77D1"/>
    <w:pPr>
      <w:spacing w:after="0" w:line="240" w:lineRule="auto"/>
    </w:pPr>
    <w:rPr>
      <w:rFonts w:ascii="Arial" w:hAnsi="Arial" w:cs="Times New Roman"/>
      <w:szCs w:val="24"/>
      <w:lang w:val="id-ID"/>
    </w:rPr>
  </w:style>
  <w:style w:type="paragraph" w:customStyle="1" w:styleId="ADICSubsectionheadingBold">
    <w:name w:val="ADIC Subsection heading Bold"/>
    <w:basedOn w:val="Normal"/>
    <w:link w:val="ADICSubsectionheadingBoldCharChar"/>
    <w:autoRedefine/>
    <w:rsid w:val="002E77D1"/>
    <w:pPr>
      <w:spacing w:after="0" w:line="240" w:lineRule="auto"/>
    </w:pPr>
    <w:rPr>
      <w:rFonts w:ascii="Arial" w:hAnsi="Arial" w:cs="Times New Roman"/>
      <w:b/>
      <w:szCs w:val="24"/>
    </w:rPr>
  </w:style>
  <w:style w:type="character" w:customStyle="1" w:styleId="ADICSubsectionheadingBoldCharChar">
    <w:name w:val="ADIC Subsection heading Bold Char Char"/>
    <w:link w:val="ADICSubsectionheadingBold"/>
    <w:locked/>
    <w:rsid w:val="002E77D1"/>
    <w:rPr>
      <w:rFonts w:ascii="Arial" w:hAnsi="Arial"/>
      <w:b/>
      <w:sz w:val="24"/>
    </w:rPr>
  </w:style>
  <w:style w:type="paragraph" w:customStyle="1" w:styleId="ADICSubsectionheading0">
    <w:name w:val="ADIC Subsection heading"/>
    <w:basedOn w:val="ADICParagraphothers"/>
    <w:autoRedefine/>
    <w:rsid w:val="002E77D1"/>
  </w:style>
  <w:style w:type="paragraph" w:customStyle="1" w:styleId="ADICFigure">
    <w:name w:val="ADIC Figure"/>
    <w:basedOn w:val="ADICParagraph"/>
    <w:link w:val="ADICFigureChar"/>
    <w:rsid w:val="002E77D1"/>
    <w:pPr>
      <w:spacing w:before="480" w:after="480"/>
      <w:jc w:val="center"/>
    </w:pPr>
  </w:style>
  <w:style w:type="character" w:customStyle="1" w:styleId="ADICFigureChar">
    <w:name w:val="ADIC Figure Char"/>
    <w:basedOn w:val="ADICParagraphCharChar"/>
    <w:link w:val="ADICFigure"/>
    <w:locked/>
    <w:rsid w:val="002E77D1"/>
    <w:rPr>
      <w:rFonts w:ascii="Arial" w:hAnsi="Arial" w:cs="Times New Roman"/>
    </w:rPr>
  </w:style>
  <w:style w:type="paragraph" w:customStyle="1" w:styleId="ADICFigureCaption">
    <w:name w:val="ADIC Figure Caption"/>
    <w:basedOn w:val="ADICFigure"/>
    <w:link w:val="ADICFigureCaptionCharChar"/>
    <w:rsid w:val="002E77D1"/>
    <w:rPr>
      <w:bCs/>
    </w:rPr>
  </w:style>
  <w:style w:type="character" w:customStyle="1" w:styleId="ADICFigureCaptionCharChar">
    <w:name w:val="ADIC Figure Caption Char Char"/>
    <w:link w:val="ADICFigureCaption"/>
    <w:locked/>
    <w:rsid w:val="002E77D1"/>
    <w:rPr>
      <w:rFonts w:ascii="Arial" w:hAnsi="Arial"/>
    </w:rPr>
  </w:style>
  <w:style w:type="paragraph" w:customStyle="1" w:styleId="Paragraph">
    <w:name w:val="Paragraph"/>
    <w:basedOn w:val="Normal"/>
    <w:next w:val="Normal"/>
    <w:link w:val="ParagraphChar"/>
    <w:rsid w:val="002E77D1"/>
    <w:pPr>
      <w:spacing w:after="0" w:line="240" w:lineRule="auto"/>
      <w:jc w:val="both"/>
    </w:pPr>
    <w:rPr>
      <w:rFonts w:ascii="Arial" w:hAnsi="Arial" w:cs="Times New Roman"/>
    </w:rPr>
  </w:style>
  <w:style w:type="character" w:customStyle="1" w:styleId="ParagraphChar">
    <w:name w:val="Paragraph Char"/>
    <w:link w:val="Paragraph"/>
    <w:locked/>
    <w:rsid w:val="002E77D1"/>
    <w:rPr>
      <w:rFonts w:ascii="Arial" w:hAnsi="Arial"/>
    </w:rPr>
  </w:style>
  <w:style w:type="character" w:customStyle="1" w:styleId="ADICArial10pt">
    <w:name w:val="ADIC Arial 10 pt"/>
    <w:rsid w:val="002E77D1"/>
    <w:rPr>
      <w:rFonts w:ascii="Arial" w:hAnsi="Arial"/>
      <w:sz w:val="20"/>
    </w:rPr>
  </w:style>
  <w:style w:type="character" w:customStyle="1" w:styleId="ADICTableCaption">
    <w:name w:val="ADIC Table Caption"/>
    <w:rsid w:val="002E77D1"/>
    <w:rPr>
      <w:rFonts w:ascii="Arial" w:hAnsi="Arial"/>
      <w:sz w:val="20"/>
    </w:rPr>
  </w:style>
  <w:style w:type="table" w:customStyle="1" w:styleId="ADICTable">
    <w:name w:val="ADIC Table"/>
    <w:basedOn w:val="TableSimple1"/>
    <w:rsid w:val="002E77D1"/>
    <w:pPr>
      <w:numPr>
        <w:numId w:val="9"/>
      </w:numPr>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aliases w:val="ADIC Table Simple 1"/>
    <w:basedOn w:val="TableNormal"/>
    <w:uiPriority w:val="99"/>
    <w:rsid w:val="002E77D1"/>
    <w:pPr>
      <w:spacing w:after="0" w:line="240" w:lineRule="auto"/>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ibliography">
    <w:name w:val="Bibliography"/>
    <w:basedOn w:val="Normal"/>
    <w:next w:val="Normal"/>
    <w:uiPriority w:val="37"/>
    <w:unhideWhenUsed/>
    <w:rsid w:val="002E77D1"/>
    <w:pPr>
      <w:spacing w:after="0" w:line="240" w:lineRule="auto"/>
    </w:pPr>
    <w:rPr>
      <w:rFonts w:ascii="Times New Roman" w:hAnsi="Times New Roman" w:cs="Times New Roman"/>
      <w:sz w:val="24"/>
      <w:szCs w:val="24"/>
      <w:lang w:val="id-ID"/>
    </w:rPr>
  </w:style>
  <w:style w:type="paragraph" w:customStyle="1" w:styleId="ADICReference">
    <w:name w:val="ADIC Reference"/>
    <w:basedOn w:val="Normal"/>
    <w:rsid w:val="002E77D1"/>
    <w:pPr>
      <w:numPr>
        <w:numId w:val="1"/>
      </w:numPr>
      <w:tabs>
        <w:tab w:val="left" w:pos="426"/>
      </w:tabs>
      <w:autoSpaceDE w:val="0"/>
      <w:autoSpaceDN w:val="0"/>
      <w:spacing w:after="120" w:line="240" w:lineRule="auto"/>
      <w:jc w:val="both"/>
    </w:pPr>
    <w:rPr>
      <w:rFonts w:ascii="Arial" w:hAnsi="Arial" w:cs="Times New Roman"/>
      <w:sz w:val="20"/>
      <w:szCs w:val="24"/>
      <w:lang w:val="de-DE"/>
    </w:rPr>
  </w:style>
  <w:style w:type="paragraph" w:customStyle="1" w:styleId="ADICEquation">
    <w:name w:val="ADIC Equation"/>
    <w:basedOn w:val="Paragraph"/>
    <w:next w:val="Normal"/>
    <w:rsid w:val="002E77D1"/>
  </w:style>
  <w:style w:type="character" w:customStyle="1" w:styleId="apple-converted-space">
    <w:name w:val="apple-converted-space"/>
    <w:basedOn w:val="DefaultParagraphFont"/>
    <w:rsid w:val="002E77D1"/>
    <w:rPr>
      <w:rFonts w:cs="Times New Roman"/>
    </w:rPr>
  </w:style>
  <w:style w:type="character" w:customStyle="1" w:styleId="mediumtext">
    <w:name w:val="medium_text"/>
    <w:basedOn w:val="DefaultParagraphFont"/>
    <w:uiPriority w:val="99"/>
    <w:rsid w:val="002E77D1"/>
    <w:rPr>
      <w:rFonts w:cs="Times New Roman"/>
    </w:rPr>
  </w:style>
  <w:style w:type="character" w:customStyle="1" w:styleId="apple-style-span">
    <w:name w:val="apple-style-span"/>
    <w:basedOn w:val="DefaultParagraphFont"/>
    <w:rsid w:val="002E77D1"/>
    <w:rPr>
      <w:rFonts w:cs="Times New Roman"/>
    </w:rPr>
  </w:style>
  <w:style w:type="character" w:customStyle="1" w:styleId="hps">
    <w:name w:val="hps"/>
    <w:basedOn w:val="DefaultParagraphFont"/>
    <w:rsid w:val="002E77D1"/>
    <w:rPr>
      <w:rFonts w:cs="Times New Roman"/>
    </w:rPr>
  </w:style>
  <w:style w:type="character" w:customStyle="1" w:styleId="atn">
    <w:name w:val="atn"/>
    <w:basedOn w:val="DefaultParagraphFont"/>
    <w:rsid w:val="002E77D1"/>
    <w:rPr>
      <w:rFonts w:cs="Times New Roman"/>
    </w:rPr>
  </w:style>
  <w:style w:type="character" w:customStyle="1" w:styleId="shorttext">
    <w:name w:val="short_text"/>
    <w:basedOn w:val="DefaultParagraphFont"/>
    <w:rsid w:val="002E77D1"/>
    <w:rPr>
      <w:rFonts w:cs="Times New Roman"/>
    </w:rPr>
  </w:style>
  <w:style w:type="paragraph" w:styleId="CommentText">
    <w:name w:val="annotation text"/>
    <w:basedOn w:val="Normal"/>
    <w:link w:val="CommentTextChar"/>
    <w:uiPriority w:val="99"/>
    <w:unhideWhenUsed/>
    <w:rsid w:val="002E77D1"/>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2E77D1"/>
    <w:rPr>
      <w:rFonts w:cs="Arial"/>
      <w:sz w:val="20"/>
      <w:szCs w:val="20"/>
    </w:rPr>
  </w:style>
  <w:style w:type="paragraph" w:styleId="CommentSubject">
    <w:name w:val="annotation subject"/>
    <w:basedOn w:val="CommentText"/>
    <w:next w:val="CommentText"/>
    <w:link w:val="CommentSubjectChar"/>
    <w:uiPriority w:val="99"/>
    <w:unhideWhenUsed/>
    <w:rsid w:val="002E77D1"/>
    <w:rPr>
      <w:b/>
      <w:bCs/>
    </w:rPr>
  </w:style>
  <w:style w:type="character" w:customStyle="1" w:styleId="CommentSubjectChar">
    <w:name w:val="Comment Subject Char"/>
    <w:basedOn w:val="CommentTextChar"/>
    <w:link w:val="CommentSubject"/>
    <w:uiPriority w:val="99"/>
    <w:locked/>
    <w:rsid w:val="002E77D1"/>
    <w:rPr>
      <w:rFonts w:cs="Arial"/>
      <w:b/>
      <w:bCs/>
      <w:sz w:val="20"/>
      <w:szCs w:val="20"/>
    </w:rPr>
  </w:style>
  <w:style w:type="paragraph" w:customStyle="1" w:styleId="xl28">
    <w:name w:val="xl28"/>
    <w:basedOn w:val="Normal"/>
    <w:rsid w:val="002E77D1"/>
    <w:pPr>
      <w:pBdr>
        <w:left w:val="single" w:sz="4" w:space="0" w:color="auto"/>
      </w:pBdr>
      <w:spacing w:before="100" w:beforeAutospacing="1" w:after="100" w:afterAutospacing="1" w:line="240" w:lineRule="auto"/>
      <w:jc w:val="both"/>
      <w:textAlignment w:val="top"/>
    </w:pPr>
    <w:rPr>
      <w:rFonts w:ascii="Arial" w:hAnsi="Arial"/>
      <w:b/>
      <w:bCs/>
      <w:sz w:val="24"/>
      <w:szCs w:val="24"/>
    </w:rPr>
  </w:style>
  <w:style w:type="paragraph" w:customStyle="1" w:styleId="2427BFBDCC944E6980760DD5FAC15DFF">
    <w:name w:val="2427BFBDCC944E6980760DD5FAC15DFF"/>
    <w:rsid w:val="00F307D8"/>
    <w:rPr>
      <w:rFonts w:cs="Times New Roman"/>
    </w:rPr>
  </w:style>
  <w:style w:type="character" w:customStyle="1" w:styleId="searchmatch">
    <w:name w:val="searchmatch"/>
    <w:basedOn w:val="DefaultParagraphFont"/>
    <w:rsid w:val="003B2254"/>
    <w:rPr>
      <w:rFonts w:cs="Times New Roman"/>
    </w:rPr>
  </w:style>
  <w:style w:type="paragraph" w:customStyle="1" w:styleId="block">
    <w:name w:val="block"/>
    <w:basedOn w:val="NormalIndent"/>
    <w:rsid w:val="004078D4"/>
    <w:pPr>
      <w:spacing w:after="0" w:line="240" w:lineRule="auto"/>
      <w:jc w:val="both"/>
    </w:pPr>
    <w:rPr>
      <w:rFonts w:ascii="Times New Roman" w:eastAsia="Times New Roman" w:hAnsi="Times New Roman" w:cs="Times New Roman"/>
      <w:szCs w:val="20"/>
      <w:lang w:val="en-GB"/>
    </w:rPr>
  </w:style>
  <w:style w:type="paragraph" w:styleId="NormalIndent">
    <w:name w:val="Normal Indent"/>
    <w:basedOn w:val="Normal"/>
    <w:uiPriority w:val="99"/>
    <w:rsid w:val="004078D4"/>
    <w:pPr>
      <w:ind w:left="720"/>
    </w:pPr>
  </w:style>
  <w:style w:type="table" w:styleId="MediumShading1-Accent6">
    <w:name w:val="Medium Shading 1 Accent 6"/>
    <w:basedOn w:val="TableNormal"/>
    <w:uiPriority w:val="63"/>
    <w:rsid w:val="00A741B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List3">
    <w:name w:val="Table List 3"/>
    <w:basedOn w:val="TableNormal"/>
    <w:uiPriority w:val="99"/>
    <w:rsid w:val="00CA14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4538E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538E5"/>
    <w:rPr>
      <w:rFonts w:ascii="Calibri" w:hAnsi="Calibri" w:cs="Calibri"/>
      <w:noProof/>
    </w:rPr>
  </w:style>
  <w:style w:type="paragraph" w:customStyle="1" w:styleId="EndNoteBibliography">
    <w:name w:val="EndNote Bibliography"/>
    <w:basedOn w:val="Normal"/>
    <w:link w:val="EndNoteBibliographyChar"/>
    <w:rsid w:val="004538E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538E5"/>
    <w:rPr>
      <w:rFonts w:ascii="Calibri" w:hAnsi="Calibri" w:cs="Calibri"/>
      <w:noProof/>
    </w:rPr>
  </w:style>
  <w:style w:type="paragraph" w:styleId="Caption">
    <w:name w:val="caption"/>
    <w:basedOn w:val="Normal"/>
    <w:next w:val="Normal"/>
    <w:qFormat/>
    <w:rsid w:val="00EC43AA"/>
    <w:pPr>
      <w:keepNext/>
      <w:spacing w:after="0" w:line="240" w:lineRule="auto"/>
      <w:jc w:val="center"/>
      <w:outlineLvl w:val="0"/>
    </w:pPr>
    <w:rPr>
      <w:rFonts w:ascii="Times New Roman" w:eastAsia="Times New Roman" w:hAnsi="Times New Roman" w:cs="Times New Roman"/>
      <w:b/>
      <w:sz w:val="28"/>
      <w:szCs w:val="20"/>
      <w:u w:val="single"/>
    </w:rPr>
  </w:style>
  <w:style w:type="paragraph" w:customStyle="1" w:styleId="style17">
    <w:name w:val="style17"/>
    <w:basedOn w:val="Normal"/>
    <w:uiPriority w:val="99"/>
    <w:rsid w:val="00EC43AA"/>
    <w:pPr>
      <w:spacing w:before="100" w:beforeAutospacing="1" w:after="100" w:afterAutospacing="1" w:line="240" w:lineRule="auto"/>
    </w:pPr>
    <w:rPr>
      <w:rFonts w:ascii="Arial" w:eastAsia="Calibri" w:hAnsi="Arial" w:cs="Arial"/>
      <w:color w:val="003300"/>
      <w:sz w:val="18"/>
      <w:szCs w:val="18"/>
    </w:rPr>
  </w:style>
  <w:style w:type="character" w:styleId="CommentReference">
    <w:name w:val="annotation reference"/>
    <w:basedOn w:val="DefaultParagraphFont"/>
    <w:uiPriority w:val="99"/>
    <w:semiHidden/>
    <w:unhideWhenUsed/>
    <w:rsid w:val="00EC43AA"/>
    <w:rPr>
      <w:sz w:val="16"/>
      <w:szCs w:val="16"/>
    </w:rPr>
  </w:style>
  <w:style w:type="paragraph" w:customStyle="1" w:styleId="Pa6">
    <w:name w:val="Pa6"/>
    <w:basedOn w:val="Default"/>
    <w:next w:val="Default"/>
    <w:uiPriority w:val="99"/>
    <w:rsid w:val="008E4E9C"/>
    <w:pPr>
      <w:spacing w:line="201" w:lineRule="atLeast"/>
    </w:pPr>
    <w:rPr>
      <w:rFonts w:ascii="Adobe Garamond Pro" w:eastAsia="Cambria" w:hAnsi="Adobe Garamond Pro" w:cs="Arial"/>
      <w:color w:val="auto"/>
      <w:lang w:val="en-GB" w:eastAsia="en-US"/>
    </w:rPr>
  </w:style>
  <w:style w:type="character" w:customStyle="1" w:styleId="ADICKeywordsChar">
    <w:name w:val="ADIC Keywords Char"/>
    <w:link w:val="ADICKeywords"/>
    <w:rsid w:val="00317FEE"/>
    <w:rPr>
      <w:rFonts w:ascii="Times New Roman" w:hAnsi="Times New Roman" w:cs="Times New Roman"/>
      <w:sz w:val="24"/>
      <w:szCs w:val="24"/>
    </w:rPr>
  </w:style>
  <w:style w:type="character" w:customStyle="1" w:styleId="st">
    <w:name w:val="st"/>
    <w:basedOn w:val="DefaultParagraphFont"/>
    <w:rsid w:val="006B5427"/>
  </w:style>
  <w:style w:type="character" w:customStyle="1" w:styleId="tlid-translation">
    <w:name w:val="tlid-translation"/>
    <w:basedOn w:val="DefaultParagraphFont"/>
    <w:rsid w:val="005553AC"/>
  </w:style>
</w:styles>
</file>

<file path=word/webSettings.xml><?xml version="1.0" encoding="utf-8"?>
<w:webSettings xmlns:r="http://schemas.openxmlformats.org/officeDocument/2006/relationships" xmlns:w="http://schemas.openxmlformats.org/wordprocessingml/2006/main">
  <w:divs>
    <w:div w:id="491143944">
      <w:bodyDiv w:val="1"/>
      <w:marLeft w:val="0"/>
      <w:marRight w:val="0"/>
      <w:marTop w:val="0"/>
      <w:marBottom w:val="0"/>
      <w:divBdr>
        <w:top w:val="none" w:sz="0" w:space="0" w:color="auto"/>
        <w:left w:val="none" w:sz="0" w:space="0" w:color="auto"/>
        <w:bottom w:val="none" w:sz="0" w:space="0" w:color="auto"/>
        <w:right w:val="none" w:sz="0" w:space="0" w:color="auto"/>
      </w:divBdr>
    </w:div>
    <w:div w:id="1008869907">
      <w:marLeft w:val="0"/>
      <w:marRight w:val="0"/>
      <w:marTop w:val="0"/>
      <w:marBottom w:val="0"/>
      <w:divBdr>
        <w:top w:val="none" w:sz="0" w:space="0" w:color="auto"/>
        <w:left w:val="none" w:sz="0" w:space="0" w:color="auto"/>
        <w:bottom w:val="none" w:sz="0" w:space="0" w:color="auto"/>
        <w:right w:val="none" w:sz="0" w:space="0" w:color="auto"/>
      </w:divBdr>
    </w:div>
    <w:div w:id="1008869908">
      <w:marLeft w:val="0"/>
      <w:marRight w:val="0"/>
      <w:marTop w:val="0"/>
      <w:marBottom w:val="0"/>
      <w:divBdr>
        <w:top w:val="none" w:sz="0" w:space="0" w:color="auto"/>
        <w:left w:val="none" w:sz="0" w:space="0" w:color="auto"/>
        <w:bottom w:val="none" w:sz="0" w:space="0" w:color="auto"/>
        <w:right w:val="none" w:sz="0" w:space="0" w:color="auto"/>
      </w:divBdr>
    </w:div>
    <w:div w:id="1385906365">
      <w:bodyDiv w:val="1"/>
      <w:marLeft w:val="0"/>
      <w:marRight w:val="0"/>
      <w:marTop w:val="0"/>
      <w:marBottom w:val="0"/>
      <w:divBdr>
        <w:top w:val="none" w:sz="0" w:space="0" w:color="auto"/>
        <w:left w:val="none" w:sz="0" w:space="0" w:color="auto"/>
        <w:bottom w:val="none" w:sz="0" w:space="0" w:color="auto"/>
        <w:right w:val="none" w:sz="0" w:space="0" w:color="auto"/>
      </w:divBdr>
      <w:divsChild>
        <w:div w:id="54936266">
          <w:marLeft w:val="0"/>
          <w:marRight w:val="0"/>
          <w:marTop w:val="0"/>
          <w:marBottom w:val="0"/>
          <w:divBdr>
            <w:top w:val="none" w:sz="0" w:space="0" w:color="auto"/>
            <w:left w:val="none" w:sz="0" w:space="0" w:color="auto"/>
            <w:bottom w:val="none" w:sz="0" w:space="0" w:color="auto"/>
            <w:right w:val="none" w:sz="0" w:space="0" w:color="auto"/>
          </w:divBdr>
        </w:div>
        <w:div w:id="542592686">
          <w:marLeft w:val="0"/>
          <w:marRight w:val="0"/>
          <w:marTop w:val="0"/>
          <w:marBottom w:val="0"/>
          <w:divBdr>
            <w:top w:val="none" w:sz="0" w:space="0" w:color="auto"/>
            <w:left w:val="none" w:sz="0" w:space="0" w:color="auto"/>
            <w:bottom w:val="none" w:sz="0" w:space="0" w:color="auto"/>
            <w:right w:val="none" w:sz="0" w:space="0" w:color="auto"/>
          </w:divBdr>
        </w:div>
      </w:divsChild>
    </w:div>
    <w:div w:id="17913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doi.org/10.1108/IMEFM-04-2017-0100" TargetMode="Externa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hyperlink" Target="https://doi.org/10.1016/S1059-0560(00)00063-0"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www.bsp.gov.ph/downloads/publications/2016/BS2016_01.pdf" TargetMode="External"/><Relationship Id="rId38" Type="http://schemas.openxmlformats.org/officeDocument/2006/relationships/hyperlink" Target="https://ssrn.com/abstract=1527310"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dx.doi.org/10.2139/ssrn.2252463" TargetMode="External"/><Relationship Id="rId37" Type="http://schemas.openxmlformats.org/officeDocument/2006/relationships/hyperlink" Target="http://dx.doi.org/10.31092/jia.v4i4.57" TargetMode="External"/><Relationship Id="rId40" Type="http://schemas.openxmlformats.org/officeDocument/2006/relationships/hyperlink" Target="https://doi.org/10.15408/sjie.v5i1.3127"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dx.doi.org/10.21043/iqtishadia.v10i2.2242"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doi.org/10.5539/ijef.v10n7p23"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dx.doi.org/10.22373/share.v6i1.1515"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doi.org/10.1108/17538391311329815" TargetMode="External"/><Relationship Id="rId35" Type="http://schemas.openxmlformats.org/officeDocument/2006/relationships/hyperlink" Target="https://doi.org/10.29313/jstat.v13i1.1070"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MEDIA SYARI’AH</PublishDate>
  <Abstract/>
  <CompanyAddress>Jurnal Hukum dan Pranata Sosial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1048B4-E5F9-417A-A8F1-9074D9D2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 Yasir Yusuf | How to Implement Islamic CSR_</vt:lpstr>
    </vt:vector>
  </TitlesOfParts>
  <Company>SHARE</Company>
  <LinksUpToDate>false</LinksUpToDate>
  <CharactersWithSpaces>33082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Yasir Yusuf | How to Implement Islamic CSR_</dc:title>
  <dc:creator>hp;Azharsyah</dc:creator>
  <cp:lastModifiedBy>matematika</cp:lastModifiedBy>
  <cp:revision>6</cp:revision>
  <cp:lastPrinted>2021-08-10T04:45:00Z</cp:lastPrinted>
  <dcterms:created xsi:type="dcterms:W3CDTF">2021-08-10T07:11:00Z</dcterms:created>
  <dcterms:modified xsi:type="dcterms:W3CDTF">2021-08-10T07:26:00Z</dcterms:modified>
</cp:coreProperties>
</file>